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eastAsia="黑体"/>
          <w:kern w:val="0"/>
          <w:sz w:val="32"/>
          <w:szCs w:val="32"/>
        </w:rPr>
        <w:t>附件4</w:t>
      </w:r>
    </w:p>
    <w:bookmarkEnd w:id="0"/>
    <w:p>
      <w:pPr>
        <w:spacing w:before="120" w:beforeLines="50"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长沙市“安全生产月”和“安全生产三湘行”活动进展情况统计表</w:t>
      </w:r>
    </w:p>
    <w:p>
      <w:pPr>
        <w:spacing w:before="100" w:beforeAutospacing="1"/>
        <w:rPr>
          <w:rFonts w:hint="eastAsia" w:ascii="楷体_GB2312" w:hAnsi="楷体_GB2312" w:eastAsia="楷体_GB2312" w:cs="楷体_GB2312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>填报单位（盖章）：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     　　　　　　　　　   </w:t>
      </w:r>
      <w:r>
        <w:rPr>
          <w:rFonts w:hint="eastAsia" w:ascii="楷体_GB2312" w:hAnsi="楷体_GB2312" w:eastAsia="楷体_GB2312" w:cs="楷体_GB2312"/>
          <w:b/>
          <w:sz w:val="24"/>
        </w:rPr>
        <w:t>联系人：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 　　　　 </w:t>
      </w:r>
      <w:r>
        <w:rPr>
          <w:rFonts w:hint="eastAsia" w:ascii="楷体_GB2312" w:hAnsi="楷体_GB2312" w:eastAsia="楷体_GB2312" w:cs="楷体_GB2312"/>
          <w:b/>
          <w:sz w:val="24"/>
        </w:rPr>
        <w:t>电话：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　　　　   </w:t>
      </w:r>
      <w:r>
        <w:rPr>
          <w:rFonts w:hint="eastAsia" w:ascii="楷体_GB2312" w:hAnsi="楷体_GB2312" w:eastAsia="楷体_GB2312" w:cs="楷体_GB2312"/>
          <w:b/>
          <w:sz w:val="24"/>
        </w:rPr>
        <w:t>填报日期：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　　　　　    </w:t>
      </w:r>
    </w:p>
    <w:tbl>
      <w:tblPr>
        <w:tblStyle w:val="4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280"/>
        <w:gridCol w:w="5152"/>
        <w:gridCol w:w="6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活动项目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内容要求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“安全生产月”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活动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启动仪式形式多样，参与范围广泛，效果良好。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以（    ）等形式启动“安全生产月”活动（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 xml:space="preserve">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深入学习贯彻习近平总书记关于安全生产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重要论述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安排理论学习中心组专题学习（    ）次，参与（ 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>）人次；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开展网络课堂培训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 xml:space="preserve">场，参与（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）人次；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在报刊、广播、网络、新媒体等平台开设专栏专题（ 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>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开展“排查整治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进行时”专题活动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在各类媒体开设专栏专题（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）个；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制作先进典型、经验做法和成果等工作专题视频（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）部；制作典型事故案例剖析警示教育片（    ）部，组织观看（    ）场，（ 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）人次；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（ 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 xml:space="preserve">）个企业开展“安全生产啄木鸟”“企业风险扫描仪”“隐患排查显微镜”等活动，排查整治安全风险隐患（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）个；（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 xml:space="preserve">  ）个社区（村）、物业公司开展“查找身边隐患”“专项整治纠察员”等（ 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）场次，排查安全违法违规行为（ 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 xml:space="preserve">）次，举报风险隐患（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 xml:space="preserve">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“安全生产大家谈”活动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组织干部职工、企业员工参加“湖湘安全”云课堂学习；在电视台、政府网站和网络直播平台等各类媒体平台开展网络视频访谈、远程在线辅导和安全生产“公开课”“微课堂”“公益讲座”等线上直播活动。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组织干部职工、企业员工参加“</w:t>
            </w:r>
            <w:r>
              <w:rPr>
                <w:rFonts w:hint="eastAsia"/>
                <w:bCs/>
                <w:kern w:val="0"/>
                <w:szCs w:val="21"/>
              </w:rPr>
              <w:t>安全生产大家谈</w:t>
            </w:r>
            <w:r>
              <w:rPr>
                <w:bCs/>
                <w:kern w:val="0"/>
                <w:szCs w:val="21"/>
              </w:rPr>
              <w:t>”</w:t>
            </w:r>
            <w:r>
              <w:rPr>
                <w:rFonts w:hint="eastAsia"/>
                <w:bCs/>
                <w:kern w:val="0"/>
                <w:szCs w:val="21"/>
              </w:rPr>
              <w:t>活动（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人次；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在媒体平台开展网络视频访谈（  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>）场，远程在线辅导 （    ）场次，安全生产“公开课”“微课堂”“公益讲座”等线上直播活动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 xml:space="preserve">场，参与总人数（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“安全生产月”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活动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开展网上“全国安全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宣传咨询日”活动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组织干部职工、企业员工参与线上“公众开放日”（    ）人次，观看安全体验场馆360全景示范展示（    ）人次，参与安全打榜直播（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创新开展（           ）活动（ 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）场，参与（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扎实推进安全宣传“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五进”工作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开展安全宣传进企业活动（ 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）场，参与（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）人；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开展安全宣传进农村活动（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）场，参与（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）人；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开展安全宣传进社区活动（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）场，参与（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）人；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开展安全宣传进学校活动（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）场，参与（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）人；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开展安全宣传进家庭活动（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）场，参与（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“安全生产三湘行”活动</w:t>
            </w: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62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组织记者采访报道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 xml:space="preserve">次，宣传经验做法（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）条，曝光问题（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）条。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开展“区域行”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次、“专题行”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次、“网上行”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开展“区域行”“专题行”“网上行”等宣传报道活动。</w:t>
            </w:r>
          </w:p>
        </w:tc>
        <w:tc>
          <w:tcPr>
            <w:tcW w:w="62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接收各类举报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条次，奖励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>人，根据线索开展新闻报道（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加强组织落实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加强组织领导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将“安全生产月”和“安全生产三湘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是否已将“安全生产月”和“安全生产三湘行”活动纳入全年安全生产重点工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作：□是　□否</w:t>
            </w:r>
          </w:p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是否已建立健全党委政府领导、多部门合作、有关方面协同参与的工作机制：□是　□否</w:t>
            </w:r>
          </w:p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是否已制定活动“路线图”“施工表”，明确责任单位、责任人和时间节点：□是　□否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是否已做好人力、物力和相关经费等保障：□是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营造浓厚氛围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在公共场所张贴、悬挂安全标语、横幅、挂图等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bCs/>
                <w:kern w:val="0"/>
                <w:szCs w:val="21"/>
              </w:rPr>
              <w:t xml:space="preserve">个；制作播放安全公益广告等安全宣传品（   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确保活动实效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6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否与解决当前安全发展、安全生产中的热点难点问题相结合：□是　□否</w:t>
            </w:r>
          </w:p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是否与精准落实常态化疫情防控、复工复产安全防范、安全生产专项整治等各项工作相结合：□是　□否</w:t>
            </w:r>
          </w:p>
          <w:p>
            <w:pPr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　□否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0E12"/>
    <w:rsid w:val="4DB10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2020-05-27T02:15:00Z</dcterms:created>
  <dc:creator>王小花。</dc:creator>
  <cp:lastModifiedBy>王小花。</cp:lastModifiedBy>
  <dcterms:modified xsi:type="dcterms:W3CDTF">2020-05-27T02:53:01Z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