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C0" w:rsidRDefault="00F24112">
      <w:pPr>
        <w:adjustRightInd w:val="0"/>
        <w:snapToGrid w:val="0"/>
        <w:jc w:val="center"/>
        <w:textAlignment w:val="baseline"/>
        <w:rPr>
          <w:rFonts w:eastAsia="方正小标宋简体"/>
          <w:sz w:val="44"/>
          <w:szCs w:val="44"/>
        </w:rPr>
      </w:pPr>
      <w:bookmarkStart w:id="0" w:name="_GoBack"/>
      <w:r>
        <w:rPr>
          <w:rFonts w:eastAsia="方正小标宋简体"/>
          <w:sz w:val="44"/>
          <w:szCs w:val="44"/>
        </w:rPr>
        <w:t>湖南省非煤矿山安全风险分级管控和隐患</w:t>
      </w:r>
    </w:p>
    <w:p w:rsidR="00363CC0" w:rsidRDefault="00F24112">
      <w:pPr>
        <w:adjustRightInd w:val="0"/>
        <w:snapToGrid w:val="0"/>
        <w:jc w:val="center"/>
        <w:textAlignment w:val="baseline"/>
        <w:rPr>
          <w:rFonts w:eastAsia="方正小标宋简体"/>
          <w:sz w:val="44"/>
          <w:szCs w:val="44"/>
        </w:rPr>
      </w:pPr>
      <w:r>
        <w:rPr>
          <w:rFonts w:eastAsia="方正小标宋简体"/>
          <w:sz w:val="44"/>
          <w:szCs w:val="44"/>
        </w:rPr>
        <w:t>排查治理工作指导意见（试行）</w:t>
      </w:r>
    </w:p>
    <w:bookmarkEnd w:id="0"/>
    <w:p w:rsidR="00363CC0" w:rsidRDefault="00363CC0">
      <w:pPr>
        <w:adjustRightInd w:val="0"/>
        <w:snapToGrid w:val="0"/>
        <w:spacing w:line="540" w:lineRule="exact"/>
        <w:textAlignment w:val="baseline"/>
        <w:rPr>
          <w:rFonts w:eastAsia="仿宋_GB2312"/>
          <w:sz w:val="32"/>
          <w:szCs w:val="32"/>
        </w:rPr>
      </w:pPr>
    </w:p>
    <w:p w:rsidR="00363CC0" w:rsidRDefault="00F24112">
      <w:pPr>
        <w:adjustRightInd w:val="0"/>
        <w:snapToGrid w:val="0"/>
        <w:spacing w:line="560" w:lineRule="exact"/>
        <w:ind w:firstLineChars="200" w:firstLine="640"/>
        <w:textAlignment w:val="baseline"/>
        <w:rPr>
          <w:rFonts w:eastAsia="仿宋_GB2312"/>
          <w:sz w:val="32"/>
          <w:szCs w:val="32"/>
        </w:rPr>
      </w:pPr>
      <w:r>
        <w:rPr>
          <w:rFonts w:eastAsia="仿宋_GB2312"/>
          <w:sz w:val="32"/>
          <w:szCs w:val="32"/>
        </w:rPr>
        <w:t>为深入推进非煤矿山安全专项整治三年行动，构建非煤矿山安全风险分级管控和隐患排查治理双重预防工作机制，提高安全监管精准化、信息化水平，确保安全生产。根据《安全生产法》有关规定，结合我省实际，特提出如下指导意见。</w:t>
      </w:r>
    </w:p>
    <w:p w:rsidR="00363CC0" w:rsidRDefault="00F24112">
      <w:pPr>
        <w:adjustRightInd w:val="0"/>
        <w:snapToGrid w:val="0"/>
        <w:spacing w:line="560" w:lineRule="exact"/>
        <w:ind w:firstLineChars="200" w:firstLine="640"/>
        <w:textAlignment w:val="baseline"/>
        <w:rPr>
          <w:rFonts w:eastAsia="黑体"/>
          <w:sz w:val="32"/>
          <w:szCs w:val="32"/>
        </w:rPr>
      </w:pPr>
      <w:r>
        <w:rPr>
          <w:rFonts w:eastAsia="黑体"/>
          <w:sz w:val="32"/>
          <w:szCs w:val="32"/>
        </w:rPr>
        <w:t>一、总体要求</w:t>
      </w:r>
    </w:p>
    <w:p w:rsidR="00363CC0" w:rsidRDefault="00F24112">
      <w:pPr>
        <w:adjustRightInd w:val="0"/>
        <w:snapToGrid w:val="0"/>
        <w:spacing w:line="560" w:lineRule="exact"/>
        <w:ind w:firstLineChars="200" w:firstLine="640"/>
        <w:textAlignment w:val="baseline"/>
        <w:rPr>
          <w:rFonts w:eastAsia="仿宋_GB2312"/>
          <w:sz w:val="32"/>
          <w:szCs w:val="32"/>
        </w:rPr>
      </w:pPr>
      <w:r>
        <w:rPr>
          <w:rFonts w:eastAsia="仿宋_GB2312"/>
          <w:sz w:val="32"/>
          <w:szCs w:val="32"/>
        </w:rPr>
        <w:t>以习近平新时代中国特色社会主义思想为指导，认真贯彻落</w:t>
      </w:r>
      <w:proofErr w:type="gramStart"/>
      <w:r>
        <w:rPr>
          <w:rFonts w:eastAsia="仿宋_GB2312"/>
          <w:sz w:val="32"/>
          <w:szCs w:val="32"/>
        </w:rPr>
        <w:t>实习近</w:t>
      </w:r>
      <w:proofErr w:type="gramEnd"/>
      <w:r>
        <w:rPr>
          <w:rFonts w:eastAsia="仿宋_GB2312"/>
          <w:sz w:val="32"/>
          <w:szCs w:val="32"/>
        </w:rPr>
        <w:t>平总书记关于安全生产的重要论述，以非煤矿山安全专项整治三年行动为统领，不断提高非煤矿山安全风险管控精准化水平，深入推进安全风险分级管控和隐患排查治理双重预防工作机制建设，着力从根本上消除隐患、从根本上解决问题，防范化解非煤矿</w:t>
      </w:r>
      <w:proofErr w:type="gramStart"/>
      <w:r>
        <w:rPr>
          <w:rFonts w:eastAsia="仿宋_GB2312"/>
          <w:sz w:val="32"/>
          <w:szCs w:val="32"/>
        </w:rPr>
        <w:t>山重大</w:t>
      </w:r>
      <w:proofErr w:type="gramEnd"/>
      <w:r>
        <w:rPr>
          <w:rFonts w:eastAsia="仿宋_GB2312"/>
          <w:sz w:val="32"/>
          <w:szCs w:val="32"/>
        </w:rPr>
        <w:t>风险，坚决杜绝重特大事故，坚决不发生较大事故，有效预防和减少一般事故，确保非煤矿山安全生产形势持续稳定好转。</w:t>
      </w:r>
    </w:p>
    <w:p w:rsidR="00363CC0" w:rsidRDefault="00F24112">
      <w:pPr>
        <w:adjustRightInd w:val="0"/>
        <w:snapToGrid w:val="0"/>
        <w:spacing w:line="560" w:lineRule="exact"/>
        <w:ind w:firstLineChars="200" w:firstLine="640"/>
        <w:textAlignment w:val="baseline"/>
        <w:rPr>
          <w:rFonts w:eastAsia="黑体"/>
          <w:sz w:val="32"/>
          <w:szCs w:val="32"/>
        </w:rPr>
      </w:pPr>
      <w:r>
        <w:rPr>
          <w:rFonts w:eastAsia="黑体"/>
          <w:sz w:val="32"/>
          <w:szCs w:val="32"/>
        </w:rPr>
        <w:t>二、适用范围</w:t>
      </w:r>
    </w:p>
    <w:p w:rsidR="00363CC0" w:rsidRDefault="00F24112">
      <w:pPr>
        <w:adjustRightInd w:val="0"/>
        <w:snapToGrid w:val="0"/>
        <w:spacing w:line="560" w:lineRule="exact"/>
        <w:ind w:firstLineChars="200" w:firstLine="640"/>
        <w:textAlignment w:val="baseline"/>
        <w:rPr>
          <w:rFonts w:eastAsia="仿宋_GB2312"/>
          <w:sz w:val="32"/>
          <w:szCs w:val="32"/>
        </w:rPr>
      </w:pPr>
      <w:r>
        <w:rPr>
          <w:rFonts w:eastAsia="仿宋_GB2312"/>
          <w:sz w:val="32"/>
          <w:szCs w:val="32"/>
        </w:rPr>
        <w:t>本省辖区内所有非煤矿山企业（含尾矿库），选厂参照执行。</w:t>
      </w:r>
    </w:p>
    <w:p w:rsidR="00363CC0" w:rsidRDefault="00F24112">
      <w:pPr>
        <w:adjustRightInd w:val="0"/>
        <w:snapToGrid w:val="0"/>
        <w:spacing w:line="560" w:lineRule="exact"/>
        <w:ind w:firstLineChars="200" w:firstLine="640"/>
        <w:textAlignment w:val="baseline"/>
        <w:rPr>
          <w:rFonts w:eastAsia="黑体"/>
          <w:sz w:val="32"/>
          <w:szCs w:val="32"/>
        </w:rPr>
      </w:pPr>
      <w:r>
        <w:rPr>
          <w:rFonts w:eastAsia="黑体"/>
          <w:sz w:val="32"/>
          <w:szCs w:val="32"/>
        </w:rPr>
        <w:t>三、工作任务</w:t>
      </w:r>
    </w:p>
    <w:p w:rsidR="00363CC0" w:rsidRDefault="00F24112">
      <w:pPr>
        <w:adjustRightInd w:val="0"/>
        <w:snapToGrid w:val="0"/>
        <w:spacing w:line="560" w:lineRule="exact"/>
        <w:ind w:firstLineChars="200" w:firstLine="643"/>
        <w:textAlignment w:val="baseline"/>
        <w:rPr>
          <w:rFonts w:eastAsia="楷体_GB2312"/>
          <w:b/>
          <w:bCs/>
          <w:color w:val="000000"/>
          <w:sz w:val="32"/>
          <w:szCs w:val="32"/>
        </w:rPr>
      </w:pPr>
      <w:r>
        <w:rPr>
          <w:rFonts w:eastAsia="楷体_GB2312"/>
          <w:b/>
          <w:bCs/>
          <w:color w:val="000000"/>
          <w:sz w:val="32"/>
          <w:szCs w:val="32"/>
        </w:rPr>
        <w:t>（一）非煤矿山企业层面。</w:t>
      </w:r>
    </w:p>
    <w:p w:rsidR="00363CC0" w:rsidRDefault="00F24112">
      <w:pPr>
        <w:adjustRightInd w:val="0"/>
        <w:snapToGrid w:val="0"/>
        <w:spacing w:line="560" w:lineRule="exact"/>
        <w:ind w:firstLineChars="200" w:firstLine="643"/>
        <w:textAlignment w:val="baseline"/>
        <w:rPr>
          <w:rFonts w:eastAsia="仿宋_GB2312"/>
          <w:b/>
          <w:color w:val="000000"/>
          <w:sz w:val="32"/>
          <w:szCs w:val="32"/>
        </w:rPr>
      </w:pPr>
      <w:r>
        <w:rPr>
          <w:rFonts w:eastAsia="仿宋_GB2312"/>
          <w:b/>
          <w:color w:val="000000"/>
          <w:sz w:val="32"/>
          <w:szCs w:val="32"/>
        </w:rPr>
        <w:t>安全风险分级管控方面：</w:t>
      </w:r>
    </w:p>
    <w:p w:rsidR="00363CC0" w:rsidRDefault="00F24112">
      <w:pPr>
        <w:adjustRightInd w:val="0"/>
        <w:snapToGrid w:val="0"/>
        <w:spacing w:line="560" w:lineRule="exact"/>
        <w:ind w:firstLineChars="200" w:firstLine="643"/>
        <w:textAlignment w:val="baseline"/>
        <w:rPr>
          <w:rFonts w:eastAsia="仿宋_GB2312"/>
          <w:b/>
          <w:color w:val="000000"/>
          <w:sz w:val="32"/>
          <w:szCs w:val="32"/>
        </w:rPr>
      </w:pPr>
      <w:r>
        <w:rPr>
          <w:rFonts w:eastAsia="仿宋_GB2312"/>
          <w:b/>
          <w:color w:val="000000"/>
          <w:sz w:val="32"/>
          <w:szCs w:val="32"/>
        </w:rPr>
        <w:t>1.</w:t>
      </w:r>
      <w:r>
        <w:rPr>
          <w:rFonts w:eastAsia="仿宋_GB2312"/>
          <w:b/>
          <w:color w:val="000000"/>
          <w:sz w:val="32"/>
          <w:szCs w:val="32"/>
        </w:rPr>
        <w:t>建立工作制度。</w:t>
      </w:r>
      <w:r>
        <w:rPr>
          <w:rFonts w:eastAsia="仿宋_GB2312"/>
          <w:color w:val="000000"/>
          <w:sz w:val="32"/>
          <w:szCs w:val="32"/>
        </w:rPr>
        <w:t>要制定完善本企业安全风险分级管控的相</w:t>
      </w:r>
      <w:r>
        <w:rPr>
          <w:rFonts w:eastAsia="仿宋_GB2312"/>
          <w:color w:val="000000"/>
          <w:sz w:val="32"/>
          <w:szCs w:val="32"/>
        </w:rPr>
        <w:lastRenderedPageBreak/>
        <w:t>关制度，明确工作内容、职责分工、基本流程、保障措施等相关内容（详见附件</w:t>
      </w:r>
      <w:r>
        <w:rPr>
          <w:rFonts w:eastAsia="仿宋_GB2312"/>
          <w:color w:val="000000"/>
          <w:sz w:val="32"/>
          <w:szCs w:val="32"/>
        </w:rPr>
        <w:t>6</w:t>
      </w:r>
      <w:r>
        <w:rPr>
          <w:rFonts w:eastAsia="仿宋_GB2312"/>
          <w:color w:val="000000"/>
          <w:sz w:val="32"/>
          <w:szCs w:val="32"/>
        </w:rPr>
        <w:t>），主要负责人要亲自挂帅。</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color w:val="000000"/>
          <w:sz w:val="32"/>
          <w:szCs w:val="32"/>
        </w:rPr>
        <w:t>2.</w:t>
      </w:r>
      <w:r>
        <w:rPr>
          <w:rFonts w:eastAsia="仿宋_GB2312"/>
          <w:b/>
          <w:color w:val="000000"/>
          <w:sz w:val="32"/>
          <w:szCs w:val="32"/>
        </w:rPr>
        <w:t>合理划分评估单元。</w:t>
      </w:r>
      <w:r>
        <w:rPr>
          <w:rFonts w:eastAsia="仿宋_GB2312"/>
          <w:sz w:val="32"/>
          <w:szCs w:val="32"/>
        </w:rPr>
        <w:t>首先要对整个生产系统进行合理划分，确定评估的基本单元。单元划分应分层次逐级进行，一般可以将整个矿山生产企</w:t>
      </w:r>
      <w:r>
        <w:rPr>
          <w:sz w:val="32"/>
          <w:szCs w:val="32"/>
        </w:rPr>
        <w:t>业</w:t>
      </w:r>
      <w:r>
        <w:rPr>
          <w:rFonts w:eastAsia="仿宋_GB2312"/>
          <w:sz w:val="32"/>
          <w:szCs w:val="32"/>
        </w:rPr>
        <w:t>依次划分成生产系统、区域、场所、岗位（设备、作业）单元（见下表）。</w:t>
      </w:r>
    </w:p>
    <w:tbl>
      <w:tblPr>
        <w:tblpPr w:leftFromText="180" w:rightFromText="180" w:vertAnchor="text" w:horzAnchor="page" w:tblpXSpec="center" w:tblpY="557"/>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1559"/>
        <w:gridCol w:w="1984"/>
        <w:gridCol w:w="1843"/>
      </w:tblGrid>
      <w:tr w:rsidR="00363CC0">
        <w:trPr>
          <w:jc w:val="center"/>
        </w:trPr>
        <w:tc>
          <w:tcPr>
            <w:tcW w:w="1242" w:type="dxa"/>
            <w:vAlign w:val="center"/>
          </w:tcPr>
          <w:p w:rsidR="00363CC0" w:rsidRDefault="00F24112">
            <w:pPr>
              <w:adjustRightInd w:val="0"/>
              <w:snapToGrid w:val="0"/>
              <w:jc w:val="center"/>
              <w:textAlignment w:val="baseline"/>
              <w:rPr>
                <w:rFonts w:eastAsia="黑体"/>
                <w:sz w:val="24"/>
              </w:rPr>
            </w:pPr>
            <w:r>
              <w:rPr>
                <w:rFonts w:eastAsia="黑体"/>
                <w:sz w:val="24"/>
              </w:rPr>
              <w:t>类</w:t>
            </w:r>
            <w:r>
              <w:rPr>
                <w:rFonts w:eastAsia="黑体"/>
                <w:sz w:val="24"/>
              </w:rPr>
              <w:t xml:space="preserve">  </w:t>
            </w:r>
            <w:r>
              <w:rPr>
                <w:rFonts w:eastAsia="黑体"/>
                <w:sz w:val="24"/>
              </w:rPr>
              <w:t>型</w:t>
            </w:r>
          </w:p>
        </w:tc>
        <w:tc>
          <w:tcPr>
            <w:tcW w:w="2694" w:type="dxa"/>
            <w:vAlign w:val="center"/>
          </w:tcPr>
          <w:p w:rsidR="00363CC0" w:rsidRDefault="00F24112">
            <w:pPr>
              <w:adjustRightInd w:val="0"/>
              <w:snapToGrid w:val="0"/>
              <w:jc w:val="center"/>
              <w:textAlignment w:val="baseline"/>
              <w:rPr>
                <w:rFonts w:eastAsia="黑体"/>
                <w:sz w:val="24"/>
              </w:rPr>
            </w:pPr>
            <w:r>
              <w:rPr>
                <w:rFonts w:eastAsia="黑体"/>
                <w:sz w:val="24"/>
              </w:rPr>
              <w:t>生产系统</w:t>
            </w:r>
          </w:p>
        </w:tc>
        <w:tc>
          <w:tcPr>
            <w:tcW w:w="1559" w:type="dxa"/>
            <w:vAlign w:val="center"/>
          </w:tcPr>
          <w:p w:rsidR="00363CC0" w:rsidRDefault="00F24112">
            <w:pPr>
              <w:adjustRightInd w:val="0"/>
              <w:snapToGrid w:val="0"/>
              <w:jc w:val="center"/>
              <w:textAlignment w:val="baseline"/>
              <w:rPr>
                <w:rFonts w:eastAsia="黑体"/>
                <w:sz w:val="24"/>
              </w:rPr>
            </w:pPr>
            <w:r>
              <w:rPr>
                <w:rFonts w:eastAsia="黑体"/>
                <w:sz w:val="24"/>
              </w:rPr>
              <w:t>区</w:t>
            </w:r>
            <w:r>
              <w:rPr>
                <w:rFonts w:eastAsia="黑体"/>
                <w:sz w:val="24"/>
              </w:rPr>
              <w:t xml:space="preserve">  </w:t>
            </w:r>
            <w:r>
              <w:rPr>
                <w:rFonts w:eastAsia="黑体"/>
                <w:sz w:val="24"/>
              </w:rPr>
              <w:t>域</w:t>
            </w:r>
          </w:p>
        </w:tc>
        <w:tc>
          <w:tcPr>
            <w:tcW w:w="1984" w:type="dxa"/>
            <w:vAlign w:val="center"/>
          </w:tcPr>
          <w:p w:rsidR="00363CC0" w:rsidRDefault="00F24112">
            <w:pPr>
              <w:adjustRightInd w:val="0"/>
              <w:snapToGrid w:val="0"/>
              <w:jc w:val="center"/>
              <w:textAlignment w:val="baseline"/>
              <w:rPr>
                <w:rFonts w:eastAsia="黑体"/>
                <w:sz w:val="24"/>
              </w:rPr>
            </w:pPr>
            <w:r>
              <w:rPr>
                <w:rFonts w:eastAsia="黑体"/>
                <w:sz w:val="24"/>
              </w:rPr>
              <w:t>场</w:t>
            </w:r>
            <w:r>
              <w:rPr>
                <w:rFonts w:eastAsia="黑体"/>
                <w:sz w:val="24"/>
              </w:rPr>
              <w:t xml:space="preserve">  </w:t>
            </w:r>
            <w:r>
              <w:rPr>
                <w:rFonts w:eastAsia="黑体"/>
                <w:sz w:val="24"/>
              </w:rPr>
              <w:t>所</w:t>
            </w:r>
          </w:p>
        </w:tc>
        <w:tc>
          <w:tcPr>
            <w:tcW w:w="1843" w:type="dxa"/>
            <w:vAlign w:val="center"/>
          </w:tcPr>
          <w:p w:rsidR="00363CC0" w:rsidRDefault="00F24112">
            <w:pPr>
              <w:adjustRightInd w:val="0"/>
              <w:snapToGrid w:val="0"/>
              <w:jc w:val="center"/>
              <w:textAlignment w:val="baseline"/>
              <w:rPr>
                <w:rFonts w:eastAsia="黑体"/>
                <w:sz w:val="24"/>
              </w:rPr>
            </w:pPr>
            <w:r>
              <w:rPr>
                <w:rFonts w:eastAsia="黑体"/>
                <w:sz w:val="24"/>
              </w:rPr>
              <w:t>岗位（设备设施</w:t>
            </w:r>
            <w:r>
              <w:rPr>
                <w:rFonts w:eastAsia="黑体"/>
                <w:sz w:val="24"/>
              </w:rPr>
              <w:t>/</w:t>
            </w:r>
            <w:r>
              <w:rPr>
                <w:rFonts w:eastAsia="黑体"/>
                <w:sz w:val="24"/>
              </w:rPr>
              <w:t>作业活动）</w:t>
            </w:r>
          </w:p>
        </w:tc>
      </w:tr>
      <w:tr w:rsidR="00363CC0">
        <w:trPr>
          <w:trHeight w:val="300"/>
          <w:jc w:val="center"/>
        </w:trPr>
        <w:tc>
          <w:tcPr>
            <w:tcW w:w="1242" w:type="dxa"/>
            <w:vAlign w:val="center"/>
          </w:tcPr>
          <w:p w:rsidR="00363CC0" w:rsidRDefault="00F24112">
            <w:pPr>
              <w:adjustRightInd w:val="0"/>
              <w:snapToGrid w:val="0"/>
              <w:jc w:val="center"/>
              <w:textAlignment w:val="baseline"/>
              <w:rPr>
                <w:rFonts w:eastAsia="仿宋_GB2312"/>
                <w:sz w:val="24"/>
              </w:rPr>
            </w:pPr>
            <w:r>
              <w:rPr>
                <w:rFonts w:eastAsia="仿宋_GB2312"/>
                <w:sz w:val="24"/>
              </w:rPr>
              <w:t>地下矿山</w:t>
            </w:r>
          </w:p>
        </w:tc>
        <w:tc>
          <w:tcPr>
            <w:tcW w:w="2694" w:type="dxa"/>
            <w:vAlign w:val="center"/>
          </w:tcPr>
          <w:p w:rsidR="00363CC0" w:rsidRDefault="00F24112">
            <w:pPr>
              <w:adjustRightInd w:val="0"/>
              <w:snapToGrid w:val="0"/>
              <w:textAlignment w:val="baseline"/>
              <w:rPr>
                <w:rFonts w:eastAsia="仿宋_GB2312"/>
                <w:sz w:val="24"/>
              </w:rPr>
            </w:pPr>
            <w:r>
              <w:rPr>
                <w:rFonts w:eastAsia="仿宋_GB2312"/>
                <w:sz w:val="24"/>
              </w:rPr>
              <w:t>开拓、采矿、提升运输、防排水、通风、供配电、充填、压风、通信、供水、工业广场、废石场</w:t>
            </w:r>
          </w:p>
        </w:tc>
        <w:tc>
          <w:tcPr>
            <w:tcW w:w="1559" w:type="dxa"/>
            <w:vAlign w:val="center"/>
          </w:tcPr>
          <w:p w:rsidR="00363CC0" w:rsidRDefault="00F24112">
            <w:pPr>
              <w:adjustRightInd w:val="0"/>
              <w:snapToGrid w:val="0"/>
              <w:textAlignment w:val="baseline"/>
              <w:rPr>
                <w:rFonts w:eastAsia="仿宋_GB2312"/>
                <w:sz w:val="24"/>
              </w:rPr>
            </w:pPr>
            <w:r>
              <w:rPr>
                <w:rFonts w:eastAsia="仿宋_GB2312"/>
                <w:sz w:val="24"/>
              </w:rPr>
              <w:t>中段、斜井、竖井、风井、炸药库，</w:t>
            </w:r>
            <w:r>
              <w:rPr>
                <w:rFonts w:eastAsia="仿宋_GB2312"/>
                <w:sz w:val="24"/>
              </w:rPr>
              <w:t>…</w:t>
            </w:r>
            <w:r>
              <w:rPr>
                <w:rFonts w:eastAsia="仿宋_GB2312"/>
                <w:sz w:val="24"/>
              </w:rPr>
              <w:t>等等</w:t>
            </w:r>
          </w:p>
        </w:tc>
        <w:tc>
          <w:tcPr>
            <w:tcW w:w="1984" w:type="dxa"/>
            <w:vAlign w:val="center"/>
          </w:tcPr>
          <w:p w:rsidR="00363CC0" w:rsidRDefault="00F24112">
            <w:pPr>
              <w:adjustRightInd w:val="0"/>
              <w:snapToGrid w:val="0"/>
              <w:textAlignment w:val="baseline"/>
              <w:rPr>
                <w:rFonts w:eastAsia="仿宋_GB2312"/>
                <w:sz w:val="24"/>
              </w:rPr>
            </w:pPr>
            <w:r>
              <w:rPr>
                <w:rFonts w:eastAsia="仿宋_GB2312"/>
                <w:sz w:val="24"/>
              </w:rPr>
              <w:t>主风机、水泵房、变配电硐室、提升机房、安全出口、工作面，</w:t>
            </w:r>
            <w:r>
              <w:rPr>
                <w:rFonts w:eastAsia="仿宋_GB2312"/>
                <w:sz w:val="24"/>
              </w:rPr>
              <w:t>…</w:t>
            </w:r>
            <w:r>
              <w:rPr>
                <w:rFonts w:eastAsia="仿宋_GB2312"/>
                <w:sz w:val="24"/>
              </w:rPr>
              <w:t>等等</w:t>
            </w:r>
          </w:p>
        </w:tc>
        <w:tc>
          <w:tcPr>
            <w:tcW w:w="1843" w:type="dxa"/>
            <w:vAlign w:val="center"/>
          </w:tcPr>
          <w:p w:rsidR="00363CC0" w:rsidRDefault="00F24112">
            <w:pPr>
              <w:adjustRightInd w:val="0"/>
              <w:snapToGrid w:val="0"/>
              <w:textAlignment w:val="baseline"/>
              <w:rPr>
                <w:rFonts w:eastAsia="仿宋_GB2312"/>
                <w:sz w:val="24"/>
              </w:rPr>
            </w:pPr>
            <w:r>
              <w:rPr>
                <w:rFonts w:eastAsia="仿宋_GB2312"/>
                <w:sz w:val="24"/>
              </w:rPr>
              <w:t>爆破作业、撬毛作业、探放水、动火作业、乘坐人车和罐笼，</w:t>
            </w:r>
            <w:r>
              <w:rPr>
                <w:rFonts w:eastAsia="仿宋_GB2312"/>
                <w:sz w:val="24"/>
              </w:rPr>
              <w:t>…</w:t>
            </w:r>
            <w:r>
              <w:rPr>
                <w:rFonts w:eastAsia="仿宋_GB2312"/>
                <w:sz w:val="24"/>
              </w:rPr>
              <w:t>等等</w:t>
            </w:r>
          </w:p>
        </w:tc>
      </w:tr>
      <w:tr w:rsidR="00363CC0">
        <w:trPr>
          <w:trHeight w:val="255"/>
          <w:jc w:val="center"/>
        </w:trPr>
        <w:tc>
          <w:tcPr>
            <w:tcW w:w="1242" w:type="dxa"/>
            <w:vAlign w:val="center"/>
          </w:tcPr>
          <w:p w:rsidR="00363CC0" w:rsidRDefault="00F24112">
            <w:pPr>
              <w:adjustRightInd w:val="0"/>
              <w:snapToGrid w:val="0"/>
              <w:jc w:val="center"/>
              <w:textAlignment w:val="baseline"/>
              <w:rPr>
                <w:rFonts w:eastAsia="仿宋_GB2312"/>
                <w:sz w:val="24"/>
              </w:rPr>
            </w:pPr>
            <w:r>
              <w:rPr>
                <w:rFonts w:eastAsia="仿宋_GB2312"/>
                <w:sz w:val="24"/>
              </w:rPr>
              <w:t>露天矿山</w:t>
            </w:r>
          </w:p>
        </w:tc>
        <w:tc>
          <w:tcPr>
            <w:tcW w:w="2694" w:type="dxa"/>
            <w:vAlign w:val="center"/>
          </w:tcPr>
          <w:p w:rsidR="00363CC0" w:rsidRDefault="00F24112">
            <w:pPr>
              <w:adjustRightInd w:val="0"/>
              <w:snapToGrid w:val="0"/>
              <w:textAlignment w:val="baseline"/>
              <w:rPr>
                <w:rFonts w:eastAsia="仿宋_GB2312"/>
                <w:sz w:val="24"/>
              </w:rPr>
            </w:pPr>
            <w:r>
              <w:rPr>
                <w:rFonts w:eastAsia="仿宋_GB2312"/>
                <w:sz w:val="24"/>
              </w:rPr>
              <w:t>开拓运输、采矿（穿孔爆破）、边坡、防排水、供配电、工业广场、排土场及周边环境</w:t>
            </w:r>
          </w:p>
        </w:tc>
        <w:tc>
          <w:tcPr>
            <w:tcW w:w="1559" w:type="dxa"/>
            <w:vAlign w:val="center"/>
          </w:tcPr>
          <w:p w:rsidR="00363CC0" w:rsidRDefault="00F24112">
            <w:pPr>
              <w:adjustRightInd w:val="0"/>
              <w:snapToGrid w:val="0"/>
              <w:textAlignment w:val="baseline"/>
              <w:rPr>
                <w:rFonts w:eastAsia="仿宋_GB2312"/>
                <w:sz w:val="24"/>
              </w:rPr>
            </w:pPr>
            <w:r>
              <w:rPr>
                <w:rFonts w:eastAsia="仿宋_GB2312"/>
                <w:sz w:val="24"/>
              </w:rPr>
              <w:t>水平、运输道路、炸药库，</w:t>
            </w:r>
            <w:r>
              <w:rPr>
                <w:rFonts w:eastAsia="仿宋_GB2312"/>
                <w:sz w:val="24"/>
              </w:rPr>
              <w:t>…</w:t>
            </w:r>
            <w:r>
              <w:rPr>
                <w:rFonts w:eastAsia="仿宋_GB2312"/>
                <w:sz w:val="24"/>
              </w:rPr>
              <w:t>等等</w:t>
            </w:r>
          </w:p>
        </w:tc>
        <w:tc>
          <w:tcPr>
            <w:tcW w:w="1984" w:type="dxa"/>
            <w:vAlign w:val="center"/>
          </w:tcPr>
          <w:p w:rsidR="00363CC0" w:rsidRDefault="00F24112">
            <w:pPr>
              <w:adjustRightInd w:val="0"/>
              <w:snapToGrid w:val="0"/>
              <w:textAlignment w:val="baseline"/>
              <w:rPr>
                <w:rFonts w:eastAsia="仿宋_GB2312"/>
                <w:sz w:val="24"/>
              </w:rPr>
            </w:pPr>
            <w:r>
              <w:rPr>
                <w:rFonts w:eastAsia="仿宋_GB2312"/>
                <w:sz w:val="24"/>
              </w:rPr>
              <w:t>采剥工作面、水泵站、变配电站、破碎站，</w:t>
            </w:r>
            <w:r>
              <w:rPr>
                <w:rFonts w:eastAsia="仿宋_GB2312"/>
                <w:sz w:val="24"/>
              </w:rPr>
              <w:t>…</w:t>
            </w:r>
            <w:r>
              <w:rPr>
                <w:rFonts w:eastAsia="仿宋_GB2312"/>
                <w:sz w:val="24"/>
              </w:rPr>
              <w:t>等等</w:t>
            </w:r>
          </w:p>
        </w:tc>
        <w:tc>
          <w:tcPr>
            <w:tcW w:w="1843" w:type="dxa"/>
            <w:vAlign w:val="center"/>
          </w:tcPr>
          <w:p w:rsidR="00363CC0" w:rsidRDefault="00F24112">
            <w:pPr>
              <w:adjustRightInd w:val="0"/>
              <w:snapToGrid w:val="0"/>
              <w:textAlignment w:val="baseline"/>
              <w:rPr>
                <w:rFonts w:eastAsia="仿宋_GB2312"/>
                <w:sz w:val="24"/>
              </w:rPr>
            </w:pPr>
            <w:r>
              <w:rPr>
                <w:rFonts w:eastAsia="仿宋_GB2312"/>
                <w:sz w:val="24"/>
              </w:rPr>
              <w:t>爆破作业、清理浮石、穿孔、道路运输，</w:t>
            </w:r>
            <w:r>
              <w:rPr>
                <w:rFonts w:eastAsia="仿宋_GB2312"/>
                <w:sz w:val="24"/>
              </w:rPr>
              <w:t>…</w:t>
            </w:r>
            <w:r>
              <w:rPr>
                <w:rFonts w:eastAsia="仿宋_GB2312"/>
                <w:sz w:val="24"/>
              </w:rPr>
              <w:t>等等</w:t>
            </w:r>
          </w:p>
        </w:tc>
      </w:tr>
      <w:tr w:rsidR="00363CC0">
        <w:trPr>
          <w:jc w:val="center"/>
        </w:trPr>
        <w:tc>
          <w:tcPr>
            <w:tcW w:w="1242" w:type="dxa"/>
            <w:vAlign w:val="center"/>
          </w:tcPr>
          <w:p w:rsidR="00363CC0" w:rsidRDefault="00F24112">
            <w:pPr>
              <w:adjustRightInd w:val="0"/>
              <w:snapToGrid w:val="0"/>
              <w:jc w:val="center"/>
              <w:textAlignment w:val="baseline"/>
              <w:rPr>
                <w:rFonts w:eastAsia="仿宋_GB2312"/>
                <w:sz w:val="24"/>
              </w:rPr>
            </w:pPr>
            <w:r>
              <w:rPr>
                <w:rFonts w:eastAsia="仿宋_GB2312"/>
                <w:sz w:val="24"/>
              </w:rPr>
              <w:t>尾矿库</w:t>
            </w:r>
          </w:p>
        </w:tc>
        <w:tc>
          <w:tcPr>
            <w:tcW w:w="2694" w:type="dxa"/>
            <w:vAlign w:val="center"/>
          </w:tcPr>
          <w:p w:rsidR="00363CC0" w:rsidRDefault="00F24112">
            <w:pPr>
              <w:adjustRightInd w:val="0"/>
              <w:snapToGrid w:val="0"/>
              <w:textAlignment w:val="baseline"/>
              <w:rPr>
                <w:rFonts w:eastAsia="仿宋_GB2312"/>
                <w:sz w:val="24"/>
              </w:rPr>
            </w:pPr>
            <w:r>
              <w:rPr>
                <w:rFonts w:eastAsia="仿宋_GB2312"/>
                <w:sz w:val="24"/>
              </w:rPr>
              <w:t>坝体（包括排渗）、放矿筑坝、排水、回水、周边环境</w:t>
            </w:r>
          </w:p>
        </w:tc>
        <w:tc>
          <w:tcPr>
            <w:tcW w:w="1559" w:type="dxa"/>
            <w:vAlign w:val="center"/>
          </w:tcPr>
          <w:p w:rsidR="00363CC0" w:rsidRDefault="00F24112">
            <w:pPr>
              <w:adjustRightInd w:val="0"/>
              <w:snapToGrid w:val="0"/>
              <w:textAlignment w:val="baseline"/>
              <w:rPr>
                <w:rFonts w:eastAsia="仿宋_GB2312"/>
                <w:sz w:val="24"/>
              </w:rPr>
            </w:pPr>
            <w:r>
              <w:rPr>
                <w:rFonts w:eastAsia="仿宋_GB2312"/>
                <w:sz w:val="24"/>
              </w:rPr>
              <w:t>堆积坝、浸润线、</w:t>
            </w:r>
            <w:proofErr w:type="gramStart"/>
            <w:r>
              <w:rPr>
                <w:rFonts w:eastAsia="仿宋_GB2312"/>
                <w:sz w:val="24"/>
              </w:rPr>
              <w:t>干滩长度</w:t>
            </w:r>
            <w:proofErr w:type="gramEnd"/>
            <w:r>
              <w:rPr>
                <w:rFonts w:eastAsia="仿宋_GB2312"/>
                <w:sz w:val="24"/>
              </w:rPr>
              <w:t>与坡度，</w:t>
            </w:r>
            <w:r>
              <w:rPr>
                <w:rFonts w:eastAsia="仿宋_GB2312"/>
                <w:sz w:val="24"/>
              </w:rPr>
              <w:t>…</w:t>
            </w:r>
            <w:r>
              <w:rPr>
                <w:rFonts w:eastAsia="仿宋_GB2312"/>
                <w:sz w:val="24"/>
              </w:rPr>
              <w:t>等等</w:t>
            </w:r>
          </w:p>
        </w:tc>
        <w:tc>
          <w:tcPr>
            <w:tcW w:w="1984" w:type="dxa"/>
            <w:vAlign w:val="center"/>
          </w:tcPr>
          <w:p w:rsidR="00363CC0" w:rsidRDefault="00F24112">
            <w:pPr>
              <w:adjustRightInd w:val="0"/>
              <w:snapToGrid w:val="0"/>
              <w:textAlignment w:val="baseline"/>
              <w:rPr>
                <w:rFonts w:eastAsia="仿宋_GB2312"/>
                <w:sz w:val="24"/>
              </w:rPr>
            </w:pPr>
            <w:r>
              <w:rPr>
                <w:rFonts w:eastAsia="仿宋_GB2312"/>
                <w:sz w:val="24"/>
              </w:rPr>
              <w:t>排水斜槽、排水井、排水管、排水隧洞、截洪沟，</w:t>
            </w:r>
            <w:r>
              <w:rPr>
                <w:rFonts w:eastAsia="仿宋_GB2312"/>
                <w:sz w:val="24"/>
              </w:rPr>
              <w:t>…</w:t>
            </w:r>
            <w:r>
              <w:rPr>
                <w:rFonts w:eastAsia="仿宋_GB2312"/>
                <w:sz w:val="24"/>
              </w:rPr>
              <w:t>等等</w:t>
            </w:r>
          </w:p>
        </w:tc>
        <w:tc>
          <w:tcPr>
            <w:tcW w:w="1843" w:type="dxa"/>
            <w:vAlign w:val="center"/>
          </w:tcPr>
          <w:p w:rsidR="00363CC0" w:rsidRDefault="00F24112">
            <w:pPr>
              <w:adjustRightInd w:val="0"/>
              <w:snapToGrid w:val="0"/>
              <w:textAlignment w:val="baseline"/>
              <w:rPr>
                <w:rFonts w:eastAsia="仿宋_GB2312"/>
                <w:sz w:val="24"/>
              </w:rPr>
            </w:pPr>
            <w:r>
              <w:rPr>
                <w:rFonts w:eastAsia="仿宋_GB2312"/>
                <w:sz w:val="24"/>
              </w:rPr>
              <w:t>筑坝、排尾放矿，</w:t>
            </w:r>
            <w:r>
              <w:rPr>
                <w:rFonts w:eastAsia="仿宋_GB2312"/>
                <w:sz w:val="24"/>
              </w:rPr>
              <w:t>…</w:t>
            </w:r>
            <w:r>
              <w:rPr>
                <w:rFonts w:eastAsia="仿宋_GB2312"/>
                <w:sz w:val="24"/>
              </w:rPr>
              <w:t>等等</w:t>
            </w:r>
          </w:p>
        </w:tc>
      </w:tr>
    </w:tbl>
    <w:p w:rsidR="00363CC0" w:rsidRDefault="00F24112">
      <w:pPr>
        <w:adjustRightInd w:val="0"/>
        <w:snapToGrid w:val="0"/>
        <w:spacing w:line="560" w:lineRule="exact"/>
        <w:jc w:val="center"/>
        <w:textAlignment w:val="baseline"/>
        <w:rPr>
          <w:rFonts w:eastAsia="黑体"/>
          <w:sz w:val="32"/>
          <w:szCs w:val="32"/>
        </w:rPr>
      </w:pPr>
      <w:r>
        <w:rPr>
          <w:rFonts w:eastAsia="黑体"/>
          <w:sz w:val="32"/>
          <w:szCs w:val="32"/>
        </w:rPr>
        <w:t>单元划分示例表</w:t>
      </w:r>
    </w:p>
    <w:p w:rsidR="00363CC0" w:rsidRDefault="00F24112">
      <w:pPr>
        <w:adjustRightInd w:val="0"/>
        <w:snapToGrid w:val="0"/>
        <w:spacing w:line="560" w:lineRule="exact"/>
        <w:ind w:firstLineChars="200" w:firstLine="643"/>
        <w:textAlignment w:val="baseline"/>
        <w:rPr>
          <w:rFonts w:eastAsia="仿宋_GB2312"/>
          <w:color w:val="000000"/>
          <w:sz w:val="32"/>
          <w:szCs w:val="32"/>
        </w:rPr>
      </w:pPr>
      <w:r>
        <w:rPr>
          <w:rFonts w:eastAsia="仿宋_GB2312"/>
          <w:b/>
          <w:color w:val="000000"/>
          <w:sz w:val="32"/>
          <w:szCs w:val="32"/>
        </w:rPr>
        <w:t>3.</w:t>
      </w:r>
      <w:r>
        <w:rPr>
          <w:rFonts w:eastAsia="仿宋_GB2312"/>
          <w:b/>
          <w:color w:val="000000"/>
          <w:sz w:val="32"/>
          <w:szCs w:val="32"/>
        </w:rPr>
        <w:t>安全风险辨识和评估。</w:t>
      </w:r>
      <w:r>
        <w:rPr>
          <w:rFonts w:eastAsia="仿宋_GB2312"/>
          <w:b/>
          <w:color w:val="000000"/>
          <w:sz w:val="32"/>
          <w:szCs w:val="32"/>
        </w:rPr>
        <w:t>一是风险辨识。</w:t>
      </w:r>
      <w:r>
        <w:rPr>
          <w:rFonts w:eastAsia="仿宋_GB2312"/>
          <w:color w:val="000000"/>
          <w:sz w:val="32"/>
          <w:szCs w:val="32"/>
        </w:rPr>
        <w:t>充分利用现有安全生产标准化、安全评价及安全专项论证等工作成果，坚持以人为中心，对作业活动、作业环境、设备设施、岗位人员、安全管理等方面进行全面的安全风险辨识，重点辨识地下矿山通风、防治水、顶板、提升运输系统，露天矿山边坡、爆破及尾矿库排水系统、坝体等容易导致群死群伤事故的危险因素。将风险影响的因</w:t>
      </w:r>
      <w:r>
        <w:rPr>
          <w:rFonts w:eastAsia="仿宋_GB2312"/>
          <w:color w:val="000000"/>
          <w:sz w:val="32"/>
          <w:szCs w:val="32"/>
        </w:rPr>
        <w:lastRenderedPageBreak/>
        <w:t>素、成因、可能影响的范围和事故类型查明，将其作为管控风险、杜绝较大以上事故的重点。</w:t>
      </w:r>
      <w:r>
        <w:rPr>
          <w:rFonts w:eastAsia="仿宋_GB2312"/>
          <w:b/>
          <w:color w:val="000000"/>
          <w:sz w:val="32"/>
          <w:szCs w:val="32"/>
        </w:rPr>
        <w:t>二是安全风险分级标准。</w:t>
      </w:r>
      <w:r>
        <w:rPr>
          <w:rFonts w:eastAsia="仿宋_GB2312"/>
          <w:color w:val="000000"/>
          <w:sz w:val="32"/>
          <w:szCs w:val="32"/>
        </w:rPr>
        <w:t>安全风险等级从高到低划分为重大风险、较大风险、一般风险和低风险，按照矿山关键系统（设备、场所、岗位）同时作业人数</w:t>
      </w:r>
      <w:r>
        <w:rPr>
          <w:rFonts w:eastAsia="仿宋_GB2312"/>
          <w:color w:val="000000"/>
          <w:sz w:val="32"/>
          <w:szCs w:val="32"/>
        </w:rPr>
        <w:t>或危及人数进行划分，</w:t>
      </w:r>
      <w:proofErr w:type="gramStart"/>
      <w:r>
        <w:rPr>
          <w:rFonts w:eastAsia="仿宋_GB2312"/>
          <w:color w:val="000000"/>
          <w:sz w:val="32"/>
          <w:szCs w:val="32"/>
        </w:rPr>
        <w:t>即人数</w:t>
      </w:r>
      <w:proofErr w:type="gramEnd"/>
      <w:r>
        <w:rPr>
          <w:rFonts w:eastAsia="仿宋_GB2312"/>
          <w:color w:val="000000"/>
          <w:sz w:val="32"/>
          <w:szCs w:val="32"/>
        </w:rPr>
        <w:t>在</w:t>
      </w:r>
      <w:r>
        <w:rPr>
          <w:rFonts w:eastAsia="仿宋_GB2312"/>
          <w:color w:val="000000"/>
          <w:sz w:val="32"/>
          <w:szCs w:val="32"/>
        </w:rPr>
        <w:t>10</w:t>
      </w:r>
      <w:r>
        <w:rPr>
          <w:rFonts w:eastAsia="仿宋_GB2312"/>
          <w:color w:val="000000"/>
          <w:sz w:val="32"/>
          <w:szCs w:val="32"/>
        </w:rPr>
        <w:t>人以上的为重大风险，</w:t>
      </w:r>
      <w:r>
        <w:rPr>
          <w:rFonts w:eastAsia="仿宋_GB2312"/>
          <w:color w:val="000000"/>
          <w:sz w:val="32"/>
          <w:szCs w:val="32"/>
        </w:rPr>
        <w:t>3</w:t>
      </w:r>
      <w:r>
        <w:rPr>
          <w:rFonts w:eastAsia="仿宋_GB2312"/>
          <w:color w:val="000000"/>
          <w:sz w:val="32"/>
          <w:szCs w:val="32"/>
        </w:rPr>
        <w:t>人以上、</w:t>
      </w:r>
      <w:r>
        <w:rPr>
          <w:rFonts w:eastAsia="仿宋_GB2312"/>
          <w:color w:val="000000"/>
          <w:sz w:val="32"/>
          <w:szCs w:val="32"/>
        </w:rPr>
        <w:t>10</w:t>
      </w:r>
      <w:r>
        <w:rPr>
          <w:rFonts w:eastAsia="仿宋_GB2312"/>
          <w:color w:val="000000"/>
          <w:sz w:val="32"/>
          <w:szCs w:val="32"/>
        </w:rPr>
        <w:t>人以下的为较大风险，</w:t>
      </w:r>
      <w:r>
        <w:rPr>
          <w:rFonts w:eastAsia="仿宋_GB2312"/>
          <w:color w:val="000000"/>
          <w:sz w:val="32"/>
          <w:szCs w:val="32"/>
        </w:rPr>
        <w:t>1</w:t>
      </w:r>
      <w:r>
        <w:rPr>
          <w:rFonts w:eastAsia="仿宋_GB2312"/>
          <w:color w:val="000000"/>
          <w:sz w:val="32"/>
          <w:szCs w:val="32"/>
        </w:rPr>
        <w:t>人以上、</w:t>
      </w:r>
      <w:r>
        <w:rPr>
          <w:rFonts w:eastAsia="仿宋_GB2312"/>
          <w:color w:val="000000"/>
          <w:sz w:val="32"/>
          <w:szCs w:val="32"/>
        </w:rPr>
        <w:t>3</w:t>
      </w:r>
      <w:r>
        <w:rPr>
          <w:rFonts w:eastAsia="仿宋_GB2312"/>
          <w:color w:val="000000"/>
          <w:sz w:val="32"/>
          <w:szCs w:val="32"/>
        </w:rPr>
        <w:t>人以下的为一般风险，</w:t>
      </w:r>
      <w:r>
        <w:rPr>
          <w:rFonts w:eastAsia="仿宋_GB2312"/>
          <w:color w:val="000000"/>
          <w:sz w:val="32"/>
          <w:szCs w:val="32"/>
        </w:rPr>
        <w:t>1</w:t>
      </w:r>
      <w:r>
        <w:rPr>
          <w:rFonts w:eastAsia="仿宋_GB2312"/>
          <w:color w:val="000000"/>
          <w:sz w:val="32"/>
          <w:szCs w:val="32"/>
        </w:rPr>
        <w:t>人以下的为低风险。上述所称的</w:t>
      </w:r>
      <w:r>
        <w:rPr>
          <w:rFonts w:eastAsia="仿宋_GB2312"/>
          <w:color w:val="000000"/>
          <w:sz w:val="32"/>
          <w:szCs w:val="32"/>
        </w:rPr>
        <w:t>“</w:t>
      </w:r>
      <w:r>
        <w:rPr>
          <w:rFonts w:eastAsia="仿宋_GB2312"/>
          <w:color w:val="000000"/>
          <w:sz w:val="32"/>
          <w:szCs w:val="32"/>
        </w:rPr>
        <w:t>以上</w:t>
      </w:r>
      <w:r>
        <w:rPr>
          <w:rFonts w:eastAsia="仿宋_GB2312"/>
          <w:color w:val="000000"/>
          <w:sz w:val="32"/>
          <w:szCs w:val="32"/>
        </w:rPr>
        <w:t>”</w:t>
      </w:r>
      <w:r>
        <w:rPr>
          <w:rFonts w:eastAsia="仿宋_GB2312"/>
          <w:color w:val="000000"/>
          <w:sz w:val="32"/>
          <w:szCs w:val="32"/>
        </w:rPr>
        <w:t>包括本数，</w:t>
      </w:r>
      <w:r>
        <w:rPr>
          <w:rFonts w:eastAsia="仿宋_GB2312"/>
          <w:color w:val="000000"/>
          <w:sz w:val="32"/>
          <w:szCs w:val="32"/>
        </w:rPr>
        <w:t>“</w:t>
      </w:r>
      <w:r>
        <w:rPr>
          <w:rFonts w:eastAsia="仿宋_GB2312"/>
          <w:color w:val="000000"/>
          <w:sz w:val="32"/>
          <w:szCs w:val="32"/>
        </w:rPr>
        <w:t>以下</w:t>
      </w:r>
      <w:r>
        <w:rPr>
          <w:rFonts w:eastAsia="仿宋_GB2312"/>
          <w:color w:val="000000"/>
          <w:sz w:val="32"/>
          <w:szCs w:val="32"/>
        </w:rPr>
        <w:t>”</w:t>
      </w:r>
      <w:r>
        <w:rPr>
          <w:rFonts w:eastAsia="仿宋_GB2312"/>
          <w:color w:val="000000"/>
          <w:sz w:val="32"/>
          <w:szCs w:val="32"/>
        </w:rPr>
        <w:t>不包括本数。</w:t>
      </w:r>
      <w:r>
        <w:rPr>
          <w:rFonts w:eastAsia="仿宋_GB2312"/>
          <w:b/>
          <w:color w:val="000000"/>
          <w:sz w:val="32"/>
          <w:szCs w:val="32"/>
        </w:rPr>
        <w:t>三是风险评估频次。</w:t>
      </w:r>
      <w:r>
        <w:rPr>
          <w:rFonts w:eastAsia="仿宋_GB2312"/>
          <w:color w:val="000000"/>
          <w:sz w:val="32"/>
          <w:szCs w:val="32"/>
        </w:rPr>
        <w:t>非煤矿山企业安全风险每年评估一次。</w:t>
      </w:r>
      <w:r>
        <w:rPr>
          <w:rFonts w:eastAsia="仿宋_GB2312"/>
          <w:b/>
          <w:color w:val="000000"/>
          <w:sz w:val="32"/>
          <w:szCs w:val="32"/>
        </w:rPr>
        <w:t>四是专项辨识评估。</w:t>
      </w:r>
      <w:r>
        <w:rPr>
          <w:rFonts w:eastAsia="仿宋_GB2312"/>
          <w:color w:val="000000"/>
          <w:sz w:val="32"/>
          <w:szCs w:val="32"/>
        </w:rPr>
        <w:t>存在以下情形的要进行专项辨识评估：（</w:t>
      </w:r>
      <w:r>
        <w:rPr>
          <w:rFonts w:eastAsia="仿宋_GB2312"/>
          <w:color w:val="000000"/>
          <w:sz w:val="32"/>
          <w:szCs w:val="32"/>
        </w:rPr>
        <w:t>1</w:t>
      </w:r>
      <w:r>
        <w:rPr>
          <w:rFonts w:eastAsia="仿宋_GB2312"/>
          <w:color w:val="000000"/>
          <w:sz w:val="32"/>
          <w:szCs w:val="32"/>
        </w:rPr>
        <w:t>）开拓新的中段或矿体；（</w:t>
      </w:r>
      <w:r>
        <w:rPr>
          <w:rFonts w:eastAsia="仿宋_GB2312"/>
          <w:color w:val="000000"/>
          <w:sz w:val="32"/>
          <w:szCs w:val="32"/>
        </w:rPr>
        <w:t>2</w:t>
      </w:r>
      <w:r>
        <w:rPr>
          <w:rFonts w:eastAsia="仿宋_GB2312"/>
          <w:color w:val="000000"/>
          <w:sz w:val="32"/>
          <w:szCs w:val="32"/>
        </w:rPr>
        <w:t>）生产系统、生产工艺、主要设施设备等发生重大变化；（</w:t>
      </w:r>
      <w:r>
        <w:rPr>
          <w:rFonts w:eastAsia="仿宋_GB2312"/>
          <w:color w:val="000000"/>
          <w:sz w:val="32"/>
          <w:szCs w:val="32"/>
        </w:rPr>
        <w:t>3</w:t>
      </w:r>
      <w:r>
        <w:rPr>
          <w:rFonts w:eastAsia="仿宋_GB2312"/>
          <w:color w:val="000000"/>
          <w:sz w:val="32"/>
          <w:szCs w:val="32"/>
        </w:rPr>
        <w:t>）连续停工停产</w:t>
      </w:r>
      <w:r>
        <w:rPr>
          <w:rFonts w:eastAsia="仿宋_GB2312"/>
          <w:color w:val="000000"/>
          <w:sz w:val="32"/>
          <w:szCs w:val="32"/>
        </w:rPr>
        <w:t>6</w:t>
      </w:r>
      <w:r>
        <w:rPr>
          <w:rFonts w:eastAsia="仿宋_GB2312"/>
          <w:color w:val="000000"/>
          <w:sz w:val="32"/>
          <w:szCs w:val="32"/>
        </w:rPr>
        <w:t>个月以上复工复产前；（</w:t>
      </w:r>
      <w:r>
        <w:rPr>
          <w:rFonts w:eastAsia="仿宋_GB2312"/>
          <w:color w:val="000000"/>
          <w:sz w:val="32"/>
          <w:szCs w:val="32"/>
        </w:rPr>
        <w:t>4</w:t>
      </w:r>
      <w:r>
        <w:rPr>
          <w:rFonts w:eastAsia="仿宋_GB2312"/>
          <w:color w:val="000000"/>
          <w:sz w:val="32"/>
          <w:szCs w:val="32"/>
        </w:rPr>
        <w:t>）本矿发生死亡事故或涉险事故。</w:t>
      </w:r>
    </w:p>
    <w:p w:rsidR="00363CC0" w:rsidRDefault="00F24112">
      <w:pPr>
        <w:adjustRightInd w:val="0"/>
        <w:snapToGrid w:val="0"/>
        <w:spacing w:line="560" w:lineRule="exact"/>
        <w:ind w:firstLineChars="200" w:firstLine="643"/>
        <w:textAlignment w:val="baseline"/>
        <w:rPr>
          <w:rFonts w:eastAsia="仿宋_GB2312"/>
          <w:color w:val="000000"/>
          <w:sz w:val="32"/>
          <w:szCs w:val="32"/>
        </w:rPr>
      </w:pPr>
      <w:r>
        <w:rPr>
          <w:rFonts w:eastAsia="仿宋_GB2312"/>
          <w:b/>
          <w:color w:val="000000"/>
          <w:sz w:val="32"/>
          <w:szCs w:val="32"/>
        </w:rPr>
        <w:t>4.</w:t>
      </w:r>
      <w:r>
        <w:rPr>
          <w:rFonts w:eastAsia="仿宋_GB2312"/>
          <w:b/>
          <w:color w:val="000000"/>
          <w:sz w:val="32"/>
          <w:szCs w:val="32"/>
        </w:rPr>
        <w:t>绘制安全风险空间分布图。</w:t>
      </w:r>
      <w:r>
        <w:rPr>
          <w:rFonts w:eastAsia="仿宋_GB2312"/>
          <w:color w:val="000000"/>
          <w:sz w:val="32"/>
          <w:szCs w:val="32"/>
        </w:rPr>
        <w:t>根据风险评估分级的结果，分别用红色、橙</w:t>
      </w:r>
      <w:r>
        <w:rPr>
          <w:rFonts w:eastAsia="仿宋_GB2312"/>
          <w:color w:val="000000"/>
          <w:sz w:val="32"/>
          <w:szCs w:val="32"/>
        </w:rPr>
        <w:t>色、黄色、蓝色标识标注重大风险、较大风险、一般风险、低风险的作业区域，在矿区总平面布置图、井上井下对照图、尾矿库周边环境图等图纸上绘制</w:t>
      </w:r>
      <w:r>
        <w:rPr>
          <w:rFonts w:eastAsia="仿宋_GB2312"/>
          <w:color w:val="000000"/>
          <w:sz w:val="32"/>
          <w:szCs w:val="32"/>
        </w:rPr>
        <w:t>“</w:t>
      </w:r>
      <w:r>
        <w:rPr>
          <w:rFonts w:eastAsia="仿宋_GB2312"/>
          <w:color w:val="000000"/>
          <w:sz w:val="32"/>
          <w:szCs w:val="32"/>
        </w:rPr>
        <w:t>红、橙、黄、蓝</w:t>
      </w:r>
      <w:r>
        <w:rPr>
          <w:rFonts w:eastAsia="仿宋_GB2312"/>
          <w:color w:val="000000"/>
          <w:sz w:val="32"/>
          <w:szCs w:val="32"/>
        </w:rPr>
        <w:t>”</w:t>
      </w:r>
      <w:r>
        <w:rPr>
          <w:rFonts w:eastAsia="仿宋_GB2312"/>
          <w:color w:val="000000"/>
          <w:sz w:val="32"/>
          <w:szCs w:val="32"/>
        </w:rPr>
        <w:t>四</w:t>
      </w:r>
      <w:proofErr w:type="gramStart"/>
      <w:r>
        <w:rPr>
          <w:rFonts w:eastAsia="仿宋_GB2312"/>
          <w:color w:val="000000"/>
          <w:sz w:val="32"/>
          <w:szCs w:val="32"/>
        </w:rPr>
        <w:t>色安全</w:t>
      </w:r>
      <w:proofErr w:type="gramEnd"/>
      <w:r>
        <w:rPr>
          <w:rFonts w:eastAsia="仿宋_GB2312"/>
          <w:color w:val="000000"/>
          <w:sz w:val="32"/>
          <w:szCs w:val="32"/>
        </w:rPr>
        <w:t>风险空间分布图，并用信息化手段将矿山内部各生产区域的安全风险等级展示出来，列表说明矿山安全风险清单。对大型复杂矿山，可按生产中段平面分层绘制。</w:t>
      </w:r>
    </w:p>
    <w:p w:rsidR="00363CC0" w:rsidRDefault="00F24112">
      <w:pPr>
        <w:adjustRightInd w:val="0"/>
        <w:snapToGrid w:val="0"/>
        <w:spacing w:line="560" w:lineRule="exact"/>
        <w:ind w:firstLineChars="200" w:firstLine="643"/>
        <w:textAlignment w:val="baseline"/>
        <w:rPr>
          <w:rFonts w:eastAsia="仿宋_GB2312"/>
          <w:color w:val="000000"/>
          <w:sz w:val="32"/>
          <w:szCs w:val="32"/>
        </w:rPr>
      </w:pPr>
      <w:r>
        <w:rPr>
          <w:rFonts w:eastAsia="仿宋_GB2312"/>
          <w:b/>
          <w:color w:val="000000"/>
          <w:sz w:val="32"/>
          <w:szCs w:val="32"/>
        </w:rPr>
        <w:t>5.</w:t>
      </w:r>
      <w:r>
        <w:rPr>
          <w:rFonts w:eastAsia="仿宋_GB2312"/>
          <w:b/>
          <w:color w:val="000000"/>
          <w:sz w:val="32"/>
          <w:szCs w:val="32"/>
        </w:rPr>
        <w:t>制定并落实较大以上安全风险管控方案。一是制定管控措施。</w:t>
      </w:r>
      <w:r>
        <w:rPr>
          <w:rFonts w:eastAsia="仿宋_GB2312"/>
          <w:color w:val="000000"/>
          <w:sz w:val="32"/>
          <w:szCs w:val="32"/>
        </w:rPr>
        <w:t>列出较大以上安全风险清单，明确管控措施以及每条措施落实的人员、技术、时限、资金等内容。</w:t>
      </w:r>
      <w:r>
        <w:rPr>
          <w:rFonts w:eastAsia="仿宋_GB2312"/>
          <w:b/>
          <w:color w:val="000000"/>
          <w:sz w:val="32"/>
          <w:szCs w:val="32"/>
        </w:rPr>
        <w:t>二是实行分级管控。</w:t>
      </w:r>
      <w:r>
        <w:rPr>
          <w:rFonts w:eastAsia="仿宋_GB2312"/>
          <w:color w:val="000000"/>
          <w:sz w:val="32"/>
          <w:szCs w:val="32"/>
        </w:rPr>
        <w:t>要将</w:t>
      </w:r>
      <w:r>
        <w:rPr>
          <w:rFonts w:eastAsia="仿宋_GB2312"/>
          <w:color w:val="000000"/>
          <w:sz w:val="32"/>
          <w:szCs w:val="32"/>
        </w:rPr>
        <w:lastRenderedPageBreak/>
        <w:t>安全风险分级管控整合到现有管理体系尤其是安全生产标准化体系中，根据安全风险分级结果，明确各等级安全风险相对应的企业、工区、班组和岗位人员分级管控的范围和责任，将责任分解到与生产过程相关的领导、部门、工区、班组的每个人，形成企业安全风险分级管控表（见附件</w:t>
      </w:r>
      <w:r>
        <w:rPr>
          <w:rFonts w:eastAsia="仿宋_GB2312"/>
          <w:color w:val="000000"/>
          <w:sz w:val="32"/>
          <w:szCs w:val="32"/>
        </w:rPr>
        <w:t>1</w:t>
      </w:r>
      <w:r>
        <w:rPr>
          <w:rFonts w:eastAsia="仿宋_GB2312"/>
          <w:color w:val="000000"/>
          <w:sz w:val="32"/>
          <w:szCs w:val="32"/>
        </w:rPr>
        <w:t>）</w:t>
      </w:r>
      <w:r>
        <w:rPr>
          <w:rFonts w:eastAsia="仿宋_GB2312"/>
          <w:sz w:val="32"/>
          <w:szCs w:val="32"/>
        </w:rPr>
        <w:t>。</w:t>
      </w:r>
      <w:r>
        <w:rPr>
          <w:rFonts w:eastAsia="仿宋_GB2312"/>
          <w:b/>
          <w:sz w:val="32"/>
          <w:szCs w:val="32"/>
        </w:rPr>
        <w:t>三是落实管控措施。</w:t>
      </w:r>
      <w:r>
        <w:rPr>
          <w:rFonts w:eastAsia="仿宋_GB2312"/>
          <w:sz w:val="32"/>
          <w:szCs w:val="32"/>
        </w:rPr>
        <w:t>要划分较大以上风险区域，设定作业人数上限。主要负责人、分管负责人、部门负责人、专业技术人员要掌握本企业较大以上安全风险及管控措施。工区长、班组长、作业人员要熟知本工作区域或岗位安全风险及管控措施，作业时对风险管</w:t>
      </w:r>
      <w:proofErr w:type="gramStart"/>
      <w:r>
        <w:rPr>
          <w:rFonts w:eastAsia="仿宋_GB2312"/>
          <w:sz w:val="32"/>
          <w:szCs w:val="32"/>
        </w:rPr>
        <w:t>控落实</w:t>
      </w:r>
      <w:proofErr w:type="gramEnd"/>
      <w:r>
        <w:rPr>
          <w:rFonts w:eastAsia="仿宋_GB2312"/>
          <w:sz w:val="32"/>
          <w:szCs w:val="32"/>
        </w:rPr>
        <w:t>情况进行现场确认</w:t>
      </w:r>
      <w:r>
        <w:rPr>
          <w:rFonts w:eastAsia="仿宋_GB2312"/>
          <w:sz w:val="32"/>
          <w:szCs w:val="32"/>
        </w:rPr>
        <w:t>。四是管控措施总结分析。企业主要负责人要每年组织对安全风险特别是较大以上风险管控措施落实情况和管</w:t>
      </w:r>
      <w:proofErr w:type="gramStart"/>
      <w:r>
        <w:rPr>
          <w:rFonts w:eastAsia="仿宋_GB2312"/>
          <w:sz w:val="32"/>
          <w:szCs w:val="32"/>
        </w:rPr>
        <w:t>控效果</w:t>
      </w:r>
      <w:proofErr w:type="gramEnd"/>
      <w:r>
        <w:rPr>
          <w:rFonts w:eastAsia="仿宋_GB2312"/>
          <w:sz w:val="32"/>
          <w:szCs w:val="32"/>
        </w:rPr>
        <w:t>进行总结分析。</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sz w:val="32"/>
          <w:szCs w:val="32"/>
        </w:rPr>
        <w:t>6.</w:t>
      </w:r>
      <w:r>
        <w:rPr>
          <w:rFonts w:eastAsia="仿宋_GB2312"/>
          <w:b/>
          <w:sz w:val="32"/>
          <w:szCs w:val="32"/>
        </w:rPr>
        <w:t>安全风险公告警示。</w:t>
      </w:r>
      <w:r>
        <w:rPr>
          <w:rFonts w:eastAsia="仿宋_GB2312"/>
          <w:sz w:val="32"/>
          <w:szCs w:val="32"/>
        </w:rPr>
        <w:t>要建立完善的安全风险公告制度，在矿山入井口、尾矿库初期坝、交接班室等醒目位置和重点区域分别设置安全风险公告栏。将危险有害因素、事故类型、后果、影响范围、风险等级、管控措施和应急措施、责任人、报告电话等信息标识清楚，公告内容应及时更新和建档。要制作重点岗位安全风险告知卡，标明岗位安全操作要点、主要安全风险、可能引发的事故类型、管控措施及应急措施等内容。企业每年要组织从业人</w:t>
      </w:r>
      <w:r>
        <w:rPr>
          <w:rFonts w:eastAsia="仿宋_GB2312"/>
          <w:sz w:val="32"/>
          <w:szCs w:val="32"/>
        </w:rPr>
        <w:t>员参加安全风险知识培训。</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sz w:val="32"/>
          <w:szCs w:val="32"/>
        </w:rPr>
        <w:t>7</w:t>
      </w:r>
      <w:r>
        <w:rPr>
          <w:rFonts w:eastAsia="仿宋_GB2312"/>
          <w:b/>
          <w:sz w:val="32"/>
          <w:szCs w:val="32"/>
        </w:rPr>
        <w:t>．定时报告安全风险。</w:t>
      </w:r>
      <w:r>
        <w:rPr>
          <w:rFonts w:eastAsia="仿宋_GB2312"/>
          <w:sz w:val="32"/>
          <w:szCs w:val="32"/>
        </w:rPr>
        <w:t>每年</w:t>
      </w:r>
      <w:r>
        <w:rPr>
          <w:rFonts w:eastAsia="仿宋_GB2312"/>
          <w:sz w:val="32"/>
          <w:szCs w:val="32"/>
        </w:rPr>
        <w:t>12</w:t>
      </w:r>
      <w:r>
        <w:rPr>
          <w:rFonts w:eastAsia="仿宋_GB2312"/>
          <w:sz w:val="32"/>
          <w:szCs w:val="32"/>
        </w:rPr>
        <w:t>月底前，企业要一矿一册</w:t>
      </w:r>
      <w:r>
        <w:rPr>
          <w:rFonts w:eastAsia="仿宋_GB2312"/>
          <w:sz w:val="32"/>
          <w:szCs w:val="32"/>
        </w:rPr>
        <w:t>,</w:t>
      </w:r>
      <w:r>
        <w:rPr>
          <w:rFonts w:eastAsia="仿宋_GB2312"/>
          <w:sz w:val="32"/>
          <w:szCs w:val="32"/>
        </w:rPr>
        <w:t>向属地应急部门报送安全风险辨识基本情况</w:t>
      </w:r>
      <w:r>
        <w:rPr>
          <w:rFonts w:eastAsia="楷体_GB2312"/>
          <w:sz w:val="32"/>
          <w:szCs w:val="32"/>
        </w:rPr>
        <w:t>（见附件</w:t>
      </w:r>
      <w:r>
        <w:rPr>
          <w:rFonts w:eastAsia="楷体_GB2312"/>
          <w:sz w:val="32"/>
          <w:szCs w:val="32"/>
        </w:rPr>
        <w:t>2</w:t>
      </w:r>
      <w:r>
        <w:rPr>
          <w:rFonts w:eastAsia="楷体_GB2312"/>
          <w:sz w:val="32"/>
          <w:szCs w:val="32"/>
        </w:rPr>
        <w:t>）</w:t>
      </w:r>
      <w:r>
        <w:rPr>
          <w:rFonts w:eastAsia="仿宋_GB2312"/>
          <w:sz w:val="32"/>
          <w:szCs w:val="32"/>
        </w:rPr>
        <w:t>和较大</w:t>
      </w:r>
      <w:r>
        <w:rPr>
          <w:rFonts w:eastAsia="仿宋_GB2312"/>
          <w:sz w:val="32"/>
          <w:szCs w:val="32"/>
        </w:rPr>
        <w:lastRenderedPageBreak/>
        <w:t>以上安全风险</w:t>
      </w:r>
      <w:r>
        <w:rPr>
          <w:rFonts w:eastAsia="仿宋_GB2312"/>
          <w:sz w:val="32"/>
          <w:szCs w:val="32"/>
        </w:rPr>
        <w:t>“</w:t>
      </w:r>
      <w:r>
        <w:rPr>
          <w:rFonts w:eastAsia="仿宋_GB2312"/>
          <w:sz w:val="32"/>
          <w:szCs w:val="32"/>
        </w:rPr>
        <w:t>一张表</w:t>
      </w:r>
      <w:r>
        <w:rPr>
          <w:rFonts w:eastAsia="仿宋_GB2312"/>
          <w:sz w:val="32"/>
          <w:szCs w:val="32"/>
        </w:rPr>
        <w:t>”“</w:t>
      </w:r>
      <w:r>
        <w:rPr>
          <w:rFonts w:eastAsia="仿宋_GB2312"/>
          <w:sz w:val="32"/>
          <w:szCs w:val="32"/>
        </w:rPr>
        <w:t>一张图</w:t>
      </w:r>
      <w:r>
        <w:rPr>
          <w:rFonts w:eastAsia="仿宋_GB2312"/>
          <w:sz w:val="32"/>
          <w:szCs w:val="32"/>
        </w:rPr>
        <w:t>”“</w:t>
      </w:r>
      <w:proofErr w:type="gramStart"/>
      <w:r>
        <w:rPr>
          <w:rFonts w:eastAsia="仿宋_GB2312"/>
          <w:sz w:val="32"/>
          <w:szCs w:val="32"/>
        </w:rPr>
        <w:t>一</w:t>
      </w:r>
      <w:proofErr w:type="gramEnd"/>
      <w:r>
        <w:rPr>
          <w:rFonts w:eastAsia="仿宋_GB2312"/>
          <w:sz w:val="32"/>
          <w:szCs w:val="32"/>
        </w:rPr>
        <w:t>管控方案</w:t>
      </w:r>
      <w:r>
        <w:rPr>
          <w:rFonts w:eastAsia="仿宋_GB2312"/>
          <w:sz w:val="32"/>
          <w:szCs w:val="32"/>
        </w:rPr>
        <w:t>”</w:t>
      </w:r>
      <w:r>
        <w:rPr>
          <w:rFonts w:eastAsia="仿宋_GB2312"/>
          <w:sz w:val="32"/>
          <w:szCs w:val="32"/>
        </w:rPr>
        <w:t>，新辨识的较大以上风险要立即补充报告。</w:t>
      </w:r>
    </w:p>
    <w:p w:rsidR="00363CC0" w:rsidRDefault="00F24112">
      <w:pPr>
        <w:adjustRightInd w:val="0"/>
        <w:snapToGrid w:val="0"/>
        <w:spacing w:line="560" w:lineRule="exact"/>
        <w:ind w:firstLineChars="200" w:firstLine="643"/>
        <w:textAlignment w:val="baseline"/>
        <w:rPr>
          <w:rFonts w:eastAsia="仿宋_GB2312"/>
          <w:b/>
          <w:color w:val="000000"/>
          <w:sz w:val="32"/>
          <w:szCs w:val="32"/>
        </w:rPr>
      </w:pPr>
      <w:r>
        <w:rPr>
          <w:rFonts w:eastAsia="仿宋_GB2312"/>
          <w:b/>
          <w:color w:val="000000"/>
          <w:sz w:val="32"/>
          <w:szCs w:val="32"/>
        </w:rPr>
        <w:t>隐患排查治理方面：</w:t>
      </w:r>
    </w:p>
    <w:p w:rsidR="00363CC0" w:rsidRDefault="00F24112">
      <w:pPr>
        <w:adjustRightInd w:val="0"/>
        <w:snapToGrid w:val="0"/>
        <w:spacing w:line="560" w:lineRule="exact"/>
        <w:ind w:firstLineChars="200" w:firstLine="643"/>
        <w:textAlignment w:val="baseline"/>
        <w:rPr>
          <w:rFonts w:eastAsia="仿宋_GB2312"/>
          <w:color w:val="000000"/>
          <w:sz w:val="32"/>
          <w:szCs w:val="32"/>
        </w:rPr>
      </w:pPr>
      <w:r>
        <w:rPr>
          <w:rFonts w:eastAsia="仿宋_GB2312"/>
          <w:b/>
          <w:color w:val="000000"/>
          <w:sz w:val="32"/>
          <w:szCs w:val="32"/>
        </w:rPr>
        <w:t>1.</w:t>
      </w:r>
      <w:r>
        <w:rPr>
          <w:rFonts w:eastAsia="仿宋_GB2312"/>
          <w:b/>
          <w:color w:val="000000"/>
          <w:sz w:val="32"/>
          <w:szCs w:val="32"/>
        </w:rPr>
        <w:t>建立工作机制。</w:t>
      </w:r>
      <w:r>
        <w:rPr>
          <w:rFonts w:eastAsia="仿宋_GB2312"/>
          <w:color w:val="000000"/>
          <w:sz w:val="32"/>
          <w:szCs w:val="32"/>
        </w:rPr>
        <w:t>建立健全事故隐患排查治理责任体系和工作制度，明确事故隐患排查治理工作职责。对排查出的事故隐患进行分级，按事故隐患等级进行登记、治理、验收、销号（详见附件</w:t>
      </w:r>
      <w:r>
        <w:rPr>
          <w:rFonts w:eastAsia="仿宋_GB2312"/>
          <w:color w:val="000000"/>
          <w:sz w:val="32"/>
          <w:szCs w:val="32"/>
        </w:rPr>
        <w:t>7</w:t>
      </w:r>
      <w:r>
        <w:rPr>
          <w:rFonts w:eastAsia="仿宋_GB2312"/>
          <w:color w:val="000000"/>
          <w:sz w:val="32"/>
          <w:szCs w:val="32"/>
        </w:rPr>
        <w:t>）。</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color w:val="000000"/>
          <w:sz w:val="32"/>
          <w:szCs w:val="32"/>
        </w:rPr>
        <w:t>2.</w:t>
      </w:r>
      <w:r>
        <w:rPr>
          <w:rFonts w:eastAsia="仿宋_GB2312"/>
          <w:b/>
          <w:color w:val="000000"/>
          <w:sz w:val="32"/>
          <w:szCs w:val="32"/>
        </w:rPr>
        <w:t>完善隐</w:t>
      </w:r>
      <w:r>
        <w:rPr>
          <w:rFonts w:eastAsia="仿宋_GB2312"/>
          <w:b/>
          <w:sz w:val="32"/>
          <w:szCs w:val="32"/>
        </w:rPr>
        <w:t>患排查</w:t>
      </w:r>
      <w:proofErr w:type="gramStart"/>
      <w:r>
        <w:rPr>
          <w:rFonts w:eastAsia="仿宋_GB2312"/>
          <w:b/>
          <w:sz w:val="32"/>
          <w:szCs w:val="32"/>
        </w:rPr>
        <w:t>治理台</w:t>
      </w:r>
      <w:proofErr w:type="gramEnd"/>
      <w:r>
        <w:rPr>
          <w:rFonts w:eastAsia="仿宋_GB2312"/>
          <w:b/>
          <w:sz w:val="32"/>
          <w:szCs w:val="32"/>
        </w:rPr>
        <w:t>账。</w:t>
      </w:r>
      <w:r>
        <w:rPr>
          <w:rFonts w:eastAsia="仿宋_GB2312"/>
          <w:sz w:val="32"/>
          <w:szCs w:val="32"/>
        </w:rPr>
        <w:t>要对照风险管</w:t>
      </w:r>
      <w:proofErr w:type="gramStart"/>
      <w:r>
        <w:rPr>
          <w:rFonts w:eastAsia="仿宋_GB2312"/>
          <w:sz w:val="32"/>
          <w:szCs w:val="32"/>
        </w:rPr>
        <w:t>控责任</w:t>
      </w:r>
      <w:proofErr w:type="gramEnd"/>
      <w:r>
        <w:rPr>
          <w:rFonts w:eastAsia="仿宋_GB2312"/>
          <w:sz w:val="32"/>
          <w:szCs w:val="32"/>
        </w:rPr>
        <w:t>和管控措施开展日常检查，对风险</w:t>
      </w:r>
      <w:proofErr w:type="gramStart"/>
      <w:r>
        <w:rPr>
          <w:rFonts w:eastAsia="仿宋_GB2312"/>
          <w:sz w:val="32"/>
          <w:szCs w:val="32"/>
        </w:rPr>
        <w:t>管控不到位</w:t>
      </w:r>
      <w:proofErr w:type="gramEnd"/>
      <w:r>
        <w:rPr>
          <w:rFonts w:eastAsia="仿宋_GB2312"/>
          <w:sz w:val="32"/>
          <w:szCs w:val="32"/>
        </w:rPr>
        <w:t>形成事故</w:t>
      </w:r>
      <w:r>
        <w:rPr>
          <w:rFonts w:eastAsia="仿宋_GB2312"/>
          <w:sz w:val="32"/>
          <w:szCs w:val="32"/>
        </w:rPr>
        <w:t>隐患的，要纳入隐患管理。同时要结合非煤矿山和尾矿库安全生产大排查、专项检查，进一步健全完善非煤矿山隐患排查治理制度，组织开展好日常隐患排查治理，及时修订排查</w:t>
      </w:r>
      <w:proofErr w:type="gramStart"/>
      <w:r>
        <w:rPr>
          <w:rFonts w:eastAsia="仿宋_GB2312"/>
          <w:sz w:val="32"/>
          <w:szCs w:val="32"/>
        </w:rPr>
        <w:t>治理台</w:t>
      </w:r>
      <w:proofErr w:type="gramEnd"/>
      <w:r>
        <w:rPr>
          <w:rFonts w:eastAsia="仿宋_GB2312"/>
          <w:sz w:val="32"/>
          <w:szCs w:val="32"/>
        </w:rPr>
        <w:t>账，实行闭环管理</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sz w:val="32"/>
          <w:szCs w:val="32"/>
        </w:rPr>
        <w:t>3</w:t>
      </w:r>
      <w:r>
        <w:rPr>
          <w:rFonts w:eastAsia="仿宋_GB2312"/>
          <w:b/>
          <w:sz w:val="32"/>
          <w:szCs w:val="32"/>
        </w:rPr>
        <w:t>．加强重大问题隐患排查。</w:t>
      </w:r>
      <w:r>
        <w:rPr>
          <w:rFonts w:eastAsia="仿宋_GB2312"/>
          <w:sz w:val="32"/>
          <w:szCs w:val="32"/>
        </w:rPr>
        <w:t>要对照《金属非金属矿山重大生产安全事故隐患判定标准（试行）》</w:t>
      </w:r>
      <w:r>
        <w:rPr>
          <w:rFonts w:eastAsia="仿宋_GB2312"/>
          <w:sz w:val="32"/>
          <w:szCs w:val="32"/>
        </w:rPr>
        <w:t>48</w:t>
      </w:r>
      <w:r>
        <w:rPr>
          <w:rFonts w:eastAsia="仿宋_GB2312"/>
          <w:sz w:val="32"/>
          <w:szCs w:val="32"/>
        </w:rPr>
        <w:t>条和非煤矿山</w:t>
      </w:r>
      <w:r>
        <w:rPr>
          <w:rFonts w:eastAsia="仿宋_GB2312"/>
          <w:sz w:val="32"/>
          <w:szCs w:val="32"/>
        </w:rPr>
        <w:t>10</w:t>
      </w:r>
      <w:r>
        <w:rPr>
          <w:rFonts w:eastAsia="仿宋_GB2312"/>
          <w:sz w:val="32"/>
          <w:szCs w:val="32"/>
        </w:rPr>
        <w:t>类严重违法行为及</w:t>
      </w:r>
      <w:r>
        <w:rPr>
          <w:rFonts w:eastAsia="仿宋_GB2312"/>
          <w:sz w:val="32"/>
          <w:szCs w:val="32"/>
        </w:rPr>
        <w:t>“</w:t>
      </w:r>
      <w:r>
        <w:rPr>
          <w:rFonts w:eastAsia="仿宋_GB2312"/>
          <w:sz w:val="32"/>
          <w:szCs w:val="32"/>
        </w:rPr>
        <w:t>六严禁、三严格</w:t>
      </w:r>
      <w:r>
        <w:rPr>
          <w:rFonts w:eastAsia="仿宋_GB2312"/>
          <w:sz w:val="32"/>
          <w:szCs w:val="32"/>
        </w:rPr>
        <w:t>”</w:t>
      </w:r>
      <w:r>
        <w:rPr>
          <w:rFonts w:eastAsia="仿宋_GB2312"/>
          <w:sz w:val="32"/>
          <w:szCs w:val="32"/>
        </w:rPr>
        <w:t>要求，开展自查自纠，对重大隐患严格按照</w:t>
      </w:r>
      <w:r>
        <w:rPr>
          <w:rFonts w:eastAsia="仿宋_GB2312"/>
          <w:sz w:val="32"/>
          <w:szCs w:val="32"/>
        </w:rPr>
        <w:t>“</w:t>
      </w:r>
      <w:r>
        <w:rPr>
          <w:rFonts w:eastAsia="仿宋_GB2312"/>
          <w:sz w:val="32"/>
          <w:szCs w:val="32"/>
        </w:rPr>
        <w:t>五落实</w:t>
      </w:r>
      <w:r>
        <w:rPr>
          <w:rFonts w:eastAsia="仿宋_GB2312"/>
          <w:sz w:val="32"/>
          <w:szCs w:val="32"/>
        </w:rPr>
        <w:t>”</w:t>
      </w:r>
      <w:r>
        <w:rPr>
          <w:rFonts w:eastAsia="仿宋_GB2312"/>
          <w:sz w:val="32"/>
          <w:szCs w:val="32"/>
        </w:rPr>
        <w:t>和</w:t>
      </w:r>
      <w:r>
        <w:rPr>
          <w:rFonts w:eastAsia="仿宋_GB2312"/>
          <w:sz w:val="32"/>
          <w:szCs w:val="32"/>
        </w:rPr>
        <w:t>“</w:t>
      </w:r>
      <w:proofErr w:type="gramStart"/>
      <w:r>
        <w:rPr>
          <w:rFonts w:eastAsia="仿宋_GB2312"/>
          <w:sz w:val="32"/>
          <w:szCs w:val="32"/>
        </w:rPr>
        <w:t>一</w:t>
      </w:r>
      <w:proofErr w:type="gramEnd"/>
      <w:r>
        <w:rPr>
          <w:rFonts w:eastAsia="仿宋_GB2312"/>
          <w:sz w:val="32"/>
          <w:szCs w:val="32"/>
        </w:rPr>
        <w:t>单四制</w:t>
      </w:r>
      <w:r>
        <w:rPr>
          <w:rFonts w:eastAsia="仿宋_GB2312"/>
          <w:sz w:val="32"/>
          <w:szCs w:val="32"/>
        </w:rPr>
        <w:t>”</w:t>
      </w:r>
      <w:r>
        <w:rPr>
          <w:rFonts w:eastAsia="仿宋_GB2312"/>
          <w:sz w:val="32"/>
          <w:szCs w:val="32"/>
        </w:rPr>
        <w:t>要求实行闭环管理，并于每月</w:t>
      </w:r>
      <w:r>
        <w:rPr>
          <w:rFonts w:eastAsia="仿宋_GB2312"/>
          <w:sz w:val="32"/>
          <w:szCs w:val="32"/>
        </w:rPr>
        <w:t>25</w:t>
      </w:r>
      <w:r>
        <w:rPr>
          <w:rFonts w:eastAsia="仿宋_GB2312"/>
          <w:sz w:val="32"/>
          <w:szCs w:val="32"/>
        </w:rPr>
        <w:t>日前将重大问题隐患报属地应急部门，建立重大问题</w:t>
      </w:r>
      <w:proofErr w:type="gramStart"/>
      <w:r>
        <w:rPr>
          <w:rFonts w:eastAsia="仿宋_GB2312"/>
          <w:sz w:val="32"/>
          <w:szCs w:val="32"/>
        </w:rPr>
        <w:t>隐患台</w:t>
      </w:r>
      <w:proofErr w:type="gramEnd"/>
      <w:r>
        <w:rPr>
          <w:rFonts w:eastAsia="仿宋_GB2312"/>
          <w:sz w:val="32"/>
          <w:szCs w:val="32"/>
        </w:rPr>
        <w:t>帐。</w:t>
      </w:r>
    </w:p>
    <w:p w:rsidR="00363CC0" w:rsidRDefault="00F24112">
      <w:pPr>
        <w:adjustRightInd w:val="0"/>
        <w:snapToGrid w:val="0"/>
        <w:spacing w:line="560" w:lineRule="exact"/>
        <w:ind w:firstLineChars="200" w:firstLine="643"/>
        <w:textAlignment w:val="baseline"/>
        <w:rPr>
          <w:rFonts w:eastAsia="楷体_GB2312"/>
          <w:b/>
          <w:bCs/>
          <w:sz w:val="32"/>
          <w:szCs w:val="32"/>
        </w:rPr>
      </w:pPr>
      <w:r>
        <w:rPr>
          <w:rFonts w:eastAsia="楷体_GB2312"/>
          <w:b/>
          <w:bCs/>
          <w:sz w:val="32"/>
          <w:szCs w:val="32"/>
        </w:rPr>
        <w:t>（二）监管层面。</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sz w:val="32"/>
          <w:szCs w:val="32"/>
        </w:rPr>
        <w:t>1</w:t>
      </w:r>
      <w:r>
        <w:rPr>
          <w:rFonts w:eastAsia="仿宋_GB2312"/>
          <w:b/>
          <w:sz w:val="32"/>
          <w:szCs w:val="32"/>
        </w:rPr>
        <w:t>．加强监督管理。</w:t>
      </w:r>
      <w:r>
        <w:rPr>
          <w:rFonts w:eastAsia="仿宋_GB2312"/>
          <w:sz w:val="32"/>
          <w:szCs w:val="32"/>
        </w:rPr>
        <w:t>督促企</w:t>
      </w:r>
      <w:r>
        <w:rPr>
          <w:rFonts w:eastAsia="仿宋_GB2312"/>
          <w:sz w:val="32"/>
          <w:szCs w:val="32"/>
        </w:rPr>
        <w:t>业按照有关法律、法规、规章、标准和规程的要求，建立健全风险管控和事故隐患治理各项制度，将生产经营单位建立和落实风险管控与事故隐患治理制度情况</w:t>
      </w:r>
      <w:r>
        <w:rPr>
          <w:rFonts w:eastAsia="仿宋_GB2312"/>
          <w:sz w:val="32"/>
          <w:szCs w:val="32"/>
        </w:rPr>
        <w:lastRenderedPageBreak/>
        <w:t>纳入安全生产执法计划，依法查处违法违规行为。督导企业建立非煤矿山企业安全生产基本信息</w:t>
      </w:r>
      <w:r>
        <w:rPr>
          <w:rFonts w:eastAsia="仿宋_GB2312"/>
          <w:sz w:val="32"/>
          <w:szCs w:val="32"/>
        </w:rPr>
        <w:t>“</w:t>
      </w:r>
      <w:r>
        <w:rPr>
          <w:rFonts w:eastAsia="仿宋_GB2312"/>
          <w:sz w:val="32"/>
          <w:szCs w:val="32"/>
        </w:rPr>
        <w:t>一张表</w:t>
      </w:r>
      <w:r>
        <w:rPr>
          <w:rFonts w:eastAsia="仿宋_GB2312"/>
          <w:sz w:val="32"/>
          <w:szCs w:val="32"/>
        </w:rPr>
        <w:t>”</w:t>
      </w:r>
      <w:r>
        <w:rPr>
          <w:rFonts w:eastAsia="仿宋_GB2312"/>
          <w:sz w:val="32"/>
          <w:szCs w:val="32"/>
        </w:rPr>
        <w:t>，并每年进行更新。</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sz w:val="32"/>
          <w:szCs w:val="32"/>
        </w:rPr>
        <w:t>2.</w:t>
      </w:r>
      <w:r>
        <w:rPr>
          <w:rFonts w:eastAsia="仿宋_GB2312"/>
          <w:b/>
          <w:sz w:val="32"/>
          <w:szCs w:val="32"/>
        </w:rPr>
        <w:t>核查上报风险。</w:t>
      </w:r>
      <w:r>
        <w:rPr>
          <w:rFonts w:eastAsia="仿宋_GB2312"/>
          <w:sz w:val="32"/>
          <w:szCs w:val="32"/>
        </w:rPr>
        <w:t>市、县级应急部门要按照监管权限，对辖区企业上报的较大以上安全风险</w:t>
      </w:r>
      <w:r>
        <w:rPr>
          <w:rFonts w:eastAsia="仿宋_GB2312"/>
          <w:sz w:val="32"/>
          <w:szCs w:val="32"/>
        </w:rPr>
        <w:t>“</w:t>
      </w:r>
      <w:r>
        <w:rPr>
          <w:rFonts w:eastAsia="仿宋_GB2312"/>
          <w:sz w:val="32"/>
          <w:szCs w:val="32"/>
        </w:rPr>
        <w:t>一张表</w:t>
      </w:r>
      <w:r>
        <w:rPr>
          <w:rFonts w:eastAsia="仿宋_GB2312"/>
          <w:sz w:val="32"/>
          <w:szCs w:val="32"/>
        </w:rPr>
        <w:t>”“</w:t>
      </w:r>
      <w:r>
        <w:rPr>
          <w:rFonts w:eastAsia="仿宋_GB2312"/>
          <w:sz w:val="32"/>
          <w:szCs w:val="32"/>
        </w:rPr>
        <w:t>一张图</w:t>
      </w:r>
      <w:r>
        <w:rPr>
          <w:rFonts w:eastAsia="仿宋_GB2312"/>
          <w:sz w:val="32"/>
          <w:szCs w:val="32"/>
        </w:rPr>
        <w:t>”</w:t>
      </w:r>
      <w:r>
        <w:rPr>
          <w:rFonts w:eastAsia="仿宋_GB2312"/>
          <w:sz w:val="32"/>
          <w:szCs w:val="32"/>
        </w:rPr>
        <w:t>和管控措施的落实情况，开展现场抽查核实，形成本辖区非煤矿</w:t>
      </w:r>
      <w:proofErr w:type="gramStart"/>
      <w:r>
        <w:rPr>
          <w:rFonts w:eastAsia="仿宋_GB2312"/>
          <w:sz w:val="32"/>
          <w:szCs w:val="32"/>
        </w:rPr>
        <w:t>山较大</w:t>
      </w:r>
      <w:proofErr w:type="gramEnd"/>
      <w:r>
        <w:rPr>
          <w:rFonts w:eastAsia="仿宋_GB2312"/>
          <w:sz w:val="32"/>
          <w:szCs w:val="32"/>
        </w:rPr>
        <w:t>以上安全风险</w:t>
      </w:r>
      <w:r>
        <w:rPr>
          <w:rFonts w:eastAsia="仿宋_GB2312"/>
          <w:sz w:val="32"/>
          <w:szCs w:val="32"/>
        </w:rPr>
        <w:t>“</w:t>
      </w:r>
      <w:r>
        <w:rPr>
          <w:rFonts w:eastAsia="仿宋_GB2312"/>
          <w:sz w:val="32"/>
          <w:szCs w:val="32"/>
        </w:rPr>
        <w:t>一张表</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一张图</w:t>
      </w:r>
      <w:r>
        <w:rPr>
          <w:rFonts w:eastAsia="仿宋_GB2312"/>
          <w:sz w:val="32"/>
          <w:szCs w:val="32"/>
        </w:rPr>
        <w:t>”“</w:t>
      </w:r>
      <w:proofErr w:type="gramStart"/>
      <w:r>
        <w:rPr>
          <w:rFonts w:eastAsia="仿宋_GB2312"/>
          <w:sz w:val="32"/>
          <w:szCs w:val="32"/>
        </w:rPr>
        <w:t>一</w:t>
      </w:r>
      <w:proofErr w:type="gramEnd"/>
      <w:r>
        <w:rPr>
          <w:rFonts w:eastAsia="仿宋_GB2312"/>
          <w:sz w:val="32"/>
          <w:szCs w:val="32"/>
        </w:rPr>
        <w:t>管控方案</w:t>
      </w:r>
      <w:r>
        <w:rPr>
          <w:rFonts w:eastAsia="仿宋_GB2312"/>
          <w:sz w:val="32"/>
          <w:szCs w:val="32"/>
        </w:rPr>
        <w:t>”</w:t>
      </w:r>
      <w:r>
        <w:rPr>
          <w:rFonts w:eastAsia="仿宋_GB2312"/>
          <w:sz w:val="32"/>
          <w:szCs w:val="32"/>
        </w:rPr>
        <w:t>，并逐级上报至省应急厅。</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sz w:val="32"/>
          <w:szCs w:val="32"/>
        </w:rPr>
        <w:t>3.</w:t>
      </w:r>
      <w:r>
        <w:rPr>
          <w:rFonts w:eastAsia="仿宋_GB2312"/>
          <w:b/>
          <w:sz w:val="32"/>
          <w:szCs w:val="32"/>
        </w:rPr>
        <w:t>建立隐患清单。</w:t>
      </w:r>
      <w:r>
        <w:rPr>
          <w:rFonts w:eastAsia="仿宋_GB2312"/>
          <w:sz w:val="32"/>
          <w:szCs w:val="32"/>
        </w:rPr>
        <w:t>市、县级应急部门在企业自查的基础上，结合计划执法、专项检查、大排查督导和日常监管，加强对重大问题隐患的督查核查，形成本地区重大隐患清单</w:t>
      </w:r>
      <w:r>
        <w:rPr>
          <w:rFonts w:eastAsia="楷体_GB2312"/>
          <w:sz w:val="32"/>
          <w:szCs w:val="32"/>
        </w:rPr>
        <w:t>（见附件</w:t>
      </w:r>
      <w:r>
        <w:rPr>
          <w:rFonts w:eastAsia="楷体_GB2312"/>
          <w:sz w:val="32"/>
          <w:szCs w:val="32"/>
        </w:rPr>
        <w:t>3</w:t>
      </w:r>
      <w:r>
        <w:rPr>
          <w:rFonts w:eastAsia="楷体_GB2312"/>
          <w:sz w:val="32"/>
          <w:szCs w:val="32"/>
        </w:rPr>
        <w:t>）</w:t>
      </w:r>
      <w:r>
        <w:rPr>
          <w:rFonts w:eastAsia="仿宋_GB2312"/>
          <w:sz w:val="32"/>
          <w:szCs w:val="32"/>
        </w:rPr>
        <w:t>。各市级</w:t>
      </w:r>
      <w:proofErr w:type="gramStart"/>
      <w:r>
        <w:rPr>
          <w:rFonts w:eastAsia="仿宋_GB2312"/>
          <w:sz w:val="32"/>
          <w:szCs w:val="32"/>
        </w:rPr>
        <w:t>应急局</w:t>
      </w:r>
      <w:proofErr w:type="gramEnd"/>
      <w:r>
        <w:rPr>
          <w:rFonts w:eastAsia="仿宋_GB2312"/>
          <w:sz w:val="32"/>
          <w:szCs w:val="32"/>
        </w:rPr>
        <w:t>汇总辖区内非煤矿山的重大问题隐患，并于每月</w:t>
      </w:r>
      <w:r>
        <w:rPr>
          <w:rFonts w:eastAsia="仿宋_GB2312"/>
          <w:sz w:val="32"/>
          <w:szCs w:val="32"/>
        </w:rPr>
        <w:t>28</w:t>
      </w:r>
      <w:r>
        <w:rPr>
          <w:rFonts w:eastAsia="仿宋_GB2312"/>
          <w:sz w:val="32"/>
          <w:szCs w:val="32"/>
        </w:rPr>
        <w:t>日前上报省厅非煤监管处。</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sz w:val="32"/>
          <w:szCs w:val="32"/>
        </w:rPr>
        <w:t>4</w:t>
      </w:r>
      <w:r>
        <w:rPr>
          <w:rFonts w:eastAsia="仿宋_GB2312"/>
          <w:b/>
          <w:sz w:val="32"/>
          <w:szCs w:val="32"/>
        </w:rPr>
        <w:t>．企业分类。</w:t>
      </w:r>
      <w:r>
        <w:rPr>
          <w:rFonts w:eastAsia="仿宋_GB2312"/>
          <w:color w:val="000000"/>
          <w:sz w:val="32"/>
          <w:szCs w:val="32"/>
        </w:rPr>
        <w:t>根据安全风险辨识情况和监管难度，将非煤矿山企业安全风险从低到高划分为</w:t>
      </w:r>
      <w:r>
        <w:rPr>
          <w:rFonts w:eastAsia="仿宋_GB2312"/>
          <w:color w:val="000000"/>
          <w:sz w:val="32"/>
          <w:szCs w:val="32"/>
        </w:rPr>
        <w:t>A</w:t>
      </w:r>
      <w:r>
        <w:rPr>
          <w:rFonts w:eastAsia="仿宋_GB2312"/>
          <w:color w:val="000000"/>
          <w:sz w:val="32"/>
          <w:szCs w:val="32"/>
        </w:rPr>
        <w:t>类、</w:t>
      </w:r>
      <w:r>
        <w:rPr>
          <w:rFonts w:eastAsia="仿宋_GB2312"/>
          <w:color w:val="000000"/>
          <w:sz w:val="32"/>
          <w:szCs w:val="32"/>
        </w:rPr>
        <w:t>B</w:t>
      </w:r>
      <w:r>
        <w:rPr>
          <w:rFonts w:eastAsia="仿宋_GB2312"/>
          <w:color w:val="000000"/>
          <w:sz w:val="32"/>
          <w:szCs w:val="32"/>
        </w:rPr>
        <w:t>类、</w:t>
      </w:r>
      <w:r>
        <w:rPr>
          <w:rFonts w:eastAsia="仿宋_GB2312"/>
          <w:color w:val="000000"/>
          <w:sz w:val="32"/>
          <w:szCs w:val="32"/>
        </w:rPr>
        <w:t>C</w:t>
      </w:r>
      <w:r>
        <w:rPr>
          <w:rFonts w:eastAsia="仿宋_GB2312"/>
          <w:color w:val="000000"/>
          <w:sz w:val="32"/>
          <w:szCs w:val="32"/>
        </w:rPr>
        <w:t>类、</w:t>
      </w:r>
      <w:r>
        <w:rPr>
          <w:rFonts w:eastAsia="仿宋_GB2312"/>
          <w:color w:val="000000"/>
          <w:sz w:val="32"/>
          <w:szCs w:val="32"/>
        </w:rPr>
        <w:t>D</w:t>
      </w:r>
      <w:r>
        <w:rPr>
          <w:rFonts w:eastAsia="仿宋_GB2312"/>
          <w:color w:val="000000"/>
          <w:sz w:val="32"/>
          <w:szCs w:val="32"/>
        </w:rPr>
        <w:t>类。</w:t>
      </w:r>
      <w:r>
        <w:rPr>
          <w:rFonts w:eastAsia="仿宋_GB2312"/>
          <w:sz w:val="32"/>
          <w:szCs w:val="32"/>
        </w:rPr>
        <w:t>市、县应急部门根据企业风险辨识评估情况和湖南省非煤矿山企业分类监管判定标准</w:t>
      </w:r>
      <w:r>
        <w:rPr>
          <w:rFonts w:eastAsia="楷体_GB2312"/>
          <w:sz w:val="32"/>
          <w:szCs w:val="32"/>
        </w:rPr>
        <w:t>（见附件</w:t>
      </w:r>
      <w:r>
        <w:rPr>
          <w:rFonts w:eastAsia="楷体_GB2312"/>
          <w:sz w:val="32"/>
          <w:szCs w:val="32"/>
        </w:rPr>
        <w:t>4</w:t>
      </w:r>
      <w:r>
        <w:rPr>
          <w:rFonts w:eastAsia="楷体_GB2312"/>
          <w:sz w:val="32"/>
          <w:szCs w:val="32"/>
        </w:rPr>
        <w:t>）</w:t>
      </w:r>
      <w:r>
        <w:rPr>
          <w:rFonts w:eastAsia="仿宋_GB2312"/>
          <w:sz w:val="32"/>
          <w:szCs w:val="32"/>
        </w:rPr>
        <w:t>汇总梳理形成本地区非煤矿山企业</w:t>
      </w:r>
      <w:proofErr w:type="gramStart"/>
      <w:r>
        <w:rPr>
          <w:rFonts w:eastAsia="仿宋_GB2312"/>
          <w:sz w:val="32"/>
          <w:szCs w:val="32"/>
        </w:rPr>
        <w:t>分类台</w:t>
      </w:r>
      <w:proofErr w:type="gramEnd"/>
      <w:r>
        <w:rPr>
          <w:rFonts w:eastAsia="仿宋_GB2312"/>
          <w:sz w:val="32"/>
          <w:szCs w:val="32"/>
        </w:rPr>
        <w:t>账</w:t>
      </w:r>
      <w:r>
        <w:rPr>
          <w:rFonts w:eastAsia="楷体_GB2312"/>
          <w:sz w:val="32"/>
          <w:szCs w:val="32"/>
        </w:rPr>
        <w:t>（见附件</w:t>
      </w:r>
      <w:r>
        <w:rPr>
          <w:rFonts w:eastAsia="楷体_GB2312"/>
          <w:sz w:val="32"/>
          <w:szCs w:val="32"/>
        </w:rPr>
        <w:t>5</w:t>
      </w:r>
      <w:r>
        <w:rPr>
          <w:rFonts w:eastAsia="楷体_GB2312"/>
          <w:sz w:val="32"/>
          <w:szCs w:val="32"/>
        </w:rPr>
        <w:t>）</w:t>
      </w:r>
      <w:r>
        <w:rPr>
          <w:rFonts w:eastAsia="仿宋_GB2312"/>
          <w:sz w:val="32"/>
          <w:szCs w:val="32"/>
        </w:rPr>
        <w:t>，以市州为单位报省应急厅，以后每年更新。发生事故的非煤矿山，当年和</w:t>
      </w:r>
      <w:proofErr w:type="gramStart"/>
      <w:r>
        <w:rPr>
          <w:rFonts w:eastAsia="仿宋_GB2312"/>
          <w:sz w:val="32"/>
          <w:szCs w:val="32"/>
        </w:rPr>
        <w:t>次年企业</w:t>
      </w:r>
      <w:proofErr w:type="gramEnd"/>
      <w:r>
        <w:rPr>
          <w:rFonts w:eastAsia="仿宋_GB2312"/>
          <w:sz w:val="32"/>
          <w:szCs w:val="32"/>
        </w:rPr>
        <w:t>风险等级上升一级。</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sz w:val="32"/>
          <w:szCs w:val="32"/>
        </w:rPr>
        <w:t>5</w:t>
      </w:r>
      <w:r>
        <w:rPr>
          <w:rFonts w:eastAsia="仿宋_GB2312"/>
          <w:b/>
          <w:sz w:val="32"/>
          <w:szCs w:val="32"/>
        </w:rPr>
        <w:t>．分类监管。</w:t>
      </w:r>
      <w:r>
        <w:rPr>
          <w:rFonts w:eastAsia="仿宋_GB2312"/>
          <w:sz w:val="32"/>
          <w:szCs w:val="32"/>
        </w:rPr>
        <w:t>各级应急部门根据非煤矿山分类情况和企业安全风险情况，确定检查的重点和频次，将风险管控措施的落实情况、较大以上安全风险和重大隐患排查治理作为必查内容。</w:t>
      </w:r>
    </w:p>
    <w:p w:rsidR="00363CC0" w:rsidRDefault="00F24112">
      <w:pPr>
        <w:adjustRightInd w:val="0"/>
        <w:snapToGrid w:val="0"/>
        <w:spacing w:line="56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D</w:t>
      </w:r>
      <w:r>
        <w:rPr>
          <w:rFonts w:eastAsia="仿宋_GB2312"/>
          <w:sz w:val="32"/>
          <w:szCs w:val="32"/>
        </w:rPr>
        <w:t>类企业。矿山企业要加强技术改造、提高机械化水</w:t>
      </w:r>
      <w:r>
        <w:rPr>
          <w:rFonts w:eastAsia="仿宋_GB2312"/>
          <w:sz w:val="32"/>
          <w:szCs w:val="32"/>
        </w:rPr>
        <w:lastRenderedPageBreak/>
        <w:t>平、推进信息化建设；尾矿库</w:t>
      </w:r>
      <w:r>
        <w:rPr>
          <w:rFonts w:eastAsia="仿宋_GB2312"/>
          <w:sz w:val="32"/>
          <w:szCs w:val="32"/>
        </w:rPr>
        <w:t>“</w:t>
      </w:r>
      <w:r>
        <w:rPr>
          <w:rFonts w:eastAsia="仿宋_GB2312"/>
          <w:sz w:val="32"/>
          <w:szCs w:val="32"/>
        </w:rPr>
        <w:t>头顶库</w:t>
      </w:r>
      <w:r>
        <w:rPr>
          <w:rFonts w:eastAsia="仿宋_GB2312"/>
          <w:sz w:val="32"/>
          <w:szCs w:val="32"/>
        </w:rPr>
        <w:t>”</w:t>
      </w:r>
      <w:r>
        <w:rPr>
          <w:rFonts w:eastAsia="仿宋_GB2312"/>
          <w:sz w:val="32"/>
          <w:szCs w:val="32"/>
        </w:rPr>
        <w:t>要强化提升改造或</w:t>
      </w:r>
      <w:proofErr w:type="gramStart"/>
      <w:r>
        <w:rPr>
          <w:rFonts w:eastAsia="仿宋_GB2312"/>
          <w:sz w:val="32"/>
          <w:szCs w:val="32"/>
        </w:rPr>
        <w:t>闭库治理</w:t>
      </w:r>
      <w:proofErr w:type="gramEnd"/>
      <w:r>
        <w:rPr>
          <w:rFonts w:eastAsia="仿宋_GB2312"/>
          <w:sz w:val="32"/>
          <w:szCs w:val="32"/>
        </w:rPr>
        <w:t>等综合治理措施，原则上</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月底前完成在线监测系统建设。存在重大隐患的，依法运用停产整顿、顶格处罚、行刑衔接等措施。省厅每年按</w:t>
      </w:r>
      <w:r>
        <w:rPr>
          <w:rFonts w:eastAsia="仿宋_GB2312"/>
          <w:sz w:val="32"/>
          <w:szCs w:val="32"/>
        </w:rPr>
        <w:t>50%</w:t>
      </w:r>
      <w:r>
        <w:rPr>
          <w:rFonts w:eastAsia="仿宋_GB2312"/>
          <w:sz w:val="32"/>
          <w:szCs w:val="32"/>
        </w:rPr>
        <w:t>的</w:t>
      </w:r>
      <w:r>
        <w:rPr>
          <w:rFonts w:eastAsia="仿宋_GB2312"/>
          <w:sz w:val="32"/>
          <w:szCs w:val="32"/>
        </w:rPr>
        <w:t>比例进行抽查</w:t>
      </w:r>
      <w:r>
        <w:rPr>
          <w:rFonts w:eastAsia="仿宋_GB2312"/>
          <w:sz w:val="32"/>
          <w:szCs w:val="32"/>
        </w:rPr>
        <w:t>D</w:t>
      </w:r>
      <w:r>
        <w:rPr>
          <w:rFonts w:eastAsia="仿宋_GB2312"/>
          <w:sz w:val="32"/>
          <w:szCs w:val="32"/>
        </w:rPr>
        <w:t>类地下矿山和尾矿库企业，市州局每年至少检查</w:t>
      </w:r>
      <w:r>
        <w:rPr>
          <w:rFonts w:eastAsia="仿宋_GB2312"/>
          <w:sz w:val="32"/>
          <w:szCs w:val="32"/>
        </w:rPr>
        <w:t>2</w:t>
      </w:r>
      <w:r>
        <w:rPr>
          <w:rFonts w:eastAsia="仿宋_GB2312"/>
          <w:sz w:val="32"/>
          <w:szCs w:val="32"/>
        </w:rPr>
        <w:t>次，县局每年至少检查</w:t>
      </w:r>
      <w:r>
        <w:rPr>
          <w:rFonts w:eastAsia="仿宋_GB2312"/>
          <w:sz w:val="32"/>
          <w:szCs w:val="32"/>
        </w:rPr>
        <w:t>4</w:t>
      </w:r>
      <w:r>
        <w:rPr>
          <w:rFonts w:eastAsia="仿宋_GB2312"/>
          <w:sz w:val="32"/>
          <w:szCs w:val="32"/>
        </w:rPr>
        <w:t>次（不含中省企业），特殊情况视情增加检查次数。</w:t>
      </w:r>
    </w:p>
    <w:p w:rsidR="00363CC0" w:rsidRDefault="00F24112">
      <w:pPr>
        <w:adjustRightInd w:val="0"/>
        <w:snapToGrid w:val="0"/>
        <w:spacing w:line="56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C</w:t>
      </w:r>
      <w:r>
        <w:rPr>
          <w:rFonts w:eastAsia="仿宋_GB2312"/>
          <w:sz w:val="32"/>
          <w:szCs w:val="32"/>
        </w:rPr>
        <w:t>类企业。省厅按</w:t>
      </w:r>
      <w:r>
        <w:rPr>
          <w:rFonts w:eastAsia="仿宋_GB2312"/>
          <w:sz w:val="32"/>
          <w:szCs w:val="32"/>
        </w:rPr>
        <w:t>20%</w:t>
      </w:r>
      <w:r>
        <w:rPr>
          <w:rFonts w:eastAsia="仿宋_GB2312"/>
          <w:sz w:val="32"/>
          <w:szCs w:val="32"/>
        </w:rPr>
        <w:t>的比例进行抽查，市州局每年至少检查</w:t>
      </w:r>
      <w:r>
        <w:rPr>
          <w:rFonts w:eastAsia="仿宋_GB2312"/>
          <w:sz w:val="32"/>
          <w:szCs w:val="32"/>
        </w:rPr>
        <w:t>1</w:t>
      </w:r>
      <w:r>
        <w:rPr>
          <w:rFonts w:eastAsia="仿宋_GB2312"/>
          <w:sz w:val="32"/>
          <w:szCs w:val="32"/>
        </w:rPr>
        <w:t>次（中</w:t>
      </w:r>
      <w:proofErr w:type="gramStart"/>
      <w:r>
        <w:rPr>
          <w:rFonts w:eastAsia="仿宋_GB2312"/>
          <w:sz w:val="32"/>
          <w:szCs w:val="32"/>
        </w:rPr>
        <w:t>省企业</w:t>
      </w:r>
      <w:proofErr w:type="gramEnd"/>
      <w:r>
        <w:rPr>
          <w:rFonts w:eastAsia="仿宋_GB2312"/>
          <w:sz w:val="32"/>
          <w:szCs w:val="32"/>
        </w:rPr>
        <w:t>至少检查</w:t>
      </w:r>
      <w:r>
        <w:rPr>
          <w:rFonts w:eastAsia="仿宋_GB2312"/>
          <w:sz w:val="32"/>
          <w:szCs w:val="32"/>
        </w:rPr>
        <w:t>2</w:t>
      </w:r>
      <w:r>
        <w:rPr>
          <w:rFonts w:eastAsia="仿宋_GB2312"/>
          <w:sz w:val="32"/>
          <w:szCs w:val="32"/>
        </w:rPr>
        <w:t>次），县局每年至少检查</w:t>
      </w:r>
      <w:r>
        <w:rPr>
          <w:rFonts w:eastAsia="仿宋_GB2312"/>
          <w:sz w:val="32"/>
          <w:szCs w:val="32"/>
        </w:rPr>
        <w:t>2</w:t>
      </w:r>
      <w:r>
        <w:rPr>
          <w:rFonts w:eastAsia="仿宋_GB2312"/>
          <w:sz w:val="32"/>
          <w:szCs w:val="32"/>
        </w:rPr>
        <w:t>次（不含中省企业），特殊情况视情增加检查次数。</w:t>
      </w:r>
    </w:p>
    <w:p w:rsidR="00363CC0" w:rsidRDefault="00F24112">
      <w:pPr>
        <w:adjustRightInd w:val="0"/>
        <w:snapToGrid w:val="0"/>
        <w:spacing w:line="56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B</w:t>
      </w:r>
      <w:r>
        <w:rPr>
          <w:rFonts w:eastAsia="仿宋_GB2312"/>
          <w:sz w:val="32"/>
          <w:szCs w:val="32"/>
        </w:rPr>
        <w:t>类企业。省厅结合有关重点工作进行随机抽查，市州局按比例进行抽查（中</w:t>
      </w:r>
      <w:proofErr w:type="gramStart"/>
      <w:r>
        <w:rPr>
          <w:rFonts w:eastAsia="仿宋_GB2312"/>
          <w:sz w:val="32"/>
          <w:szCs w:val="32"/>
        </w:rPr>
        <w:t>省企业</w:t>
      </w:r>
      <w:proofErr w:type="gramEnd"/>
      <w:r>
        <w:rPr>
          <w:rFonts w:eastAsia="仿宋_GB2312"/>
          <w:sz w:val="32"/>
          <w:szCs w:val="32"/>
        </w:rPr>
        <w:t>至少检查</w:t>
      </w:r>
      <w:r>
        <w:rPr>
          <w:rFonts w:eastAsia="仿宋_GB2312"/>
          <w:sz w:val="32"/>
          <w:szCs w:val="32"/>
        </w:rPr>
        <w:t>1</w:t>
      </w:r>
      <w:r>
        <w:rPr>
          <w:rFonts w:eastAsia="仿宋_GB2312"/>
          <w:sz w:val="32"/>
          <w:szCs w:val="32"/>
        </w:rPr>
        <w:t>次），县局每年至少检查</w:t>
      </w:r>
      <w:r>
        <w:rPr>
          <w:rFonts w:eastAsia="仿宋_GB2312"/>
          <w:sz w:val="32"/>
          <w:szCs w:val="32"/>
        </w:rPr>
        <w:t>2</w:t>
      </w:r>
      <w:r>
        <w:rPr>
          <w:rFonts w:eastAsia="仿宋_GB2312"/>
          <w:sz w:val="32"/>
          <w:szCs w:val="32"/>
        </w:rPr>
        <w:t>次，特殊情况视情增加检查次数。</w:t>
      </w:r>
    </w:p>
    <w:p w:rsidR="00363CC0" w:rsidRDefault="00F24112">
      <w:pPr>
        <w:adjustRightInd w:val="0"/>
        <w:snapToGrid w:val="0"/>
        <w:spacing w:line="56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A</w:t>
      </w:r>
      <w:r>
        <w:rPr>
          <w:rFonts w:eastAsia="仿宋_GB2312"/>
          <w:sz w:val="32"/>
          <w:szCs w:val="32"/>
        </w:rPr>
        <w:t>类企业。以自我管理为主，市局结合有关重点工作随机进行抽查，县局每年检查至</w:t>
      </w:r>
      <w:r>
        <w:rPr>
          <w:rFonts w:eastAsia="仿宋_GB2312"/>
          <w:sz w:val="32"/>
          <w:szCs w:val="32"/>
        </w:rPr>
        <w:t>少</w:t>
      </w:r>
      <w:r>
        <w:rPr>
          <w:rFonts w:eastAsia="仿宋_GB2312"/>
          <w:sz w:val="32"/>
          <w:szCs w:val="32"/>
        </w:rPr>
        <w:t>1</w:t>
      </w:r>
      <w:r>
        <w:rPr>
          <w:rFonts w:eastAsia="仿宋_GB2312"/>
          <w:sz w:val="32"/>
          <w:szCs w:val="32"/>
        </w:rPr>
        <w:t>次，督促乡镇加强日常巡查，特殊情况视情增加检查次数。</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仿宋_GB2312"/>
          <w:b/>
          <w:sz w:val="32"/>
          <w:szCs w:val="32"/>
        </w:rPr>
        <w:t>6.</w:t>
      </w:r>
      <w:r>
        <w:rPr>
          <w:rFonts w:eastAsia="仿宋_GB2312"/>
          <w:b/>
          <w:sz w:val="32"/>
          <w:szCs w:val="32"/>
        </w:rPr>
        <w:t>建立信息平台。</w:t>
      </w:r>
      <w:r>
        <w:rPr>
          <w:rFonts w:eastAsia="仿宋_GB2312"/>
          <w:sz w:val="32"/>
          <w:szCs w:val="32"/>
        </w:rPr>
        <w:t>省、市、县要分级建立非煤矿山安全生产综合信息平台，将非煤矿山企业安全生产基本信息</w:t>
      </w:r>
      <w:r>
        <w:rPr>
          <w:rFonts w:eastAsia="仿宋_GB2312"/>
          <w:sz w:val="32"/>
          <w:szCs w:val="32"/>
        </w:rPr>
        <w:t>“</w:t>
      </w:r>
      <w:r>
        <w:rPr>
          <w:rFonts w:eastAsia="仿宋_GB2312"/>
          <w:sz w:val="32"/>
          <w:szCs w:val="32"/>
        </w:rPr>
        <w:t>一张表</w:t>
      </w:r>
      <w:r>
        <w:rPr>
          <w:rFonts w:eastAsia="仿宋_GB2312"/>
          <w:sz w:val="32"/>
          <w:szCs w:val="32"/>
        </w:rPr>
        <w:t>”</w:t>
      </w:r>
      <w:r>
        <w:rPr>
          <w:rFonts w:eastAsia="仿宋_GB2312"/>
          <w:sz w:val="32"/>
          <w:szCs w:val="32"/>
        </w:rPr>
        <w:t>、非煤矿</w:t>
      </w:r>
      <w:proofErr w:type="gramStart"/>
      <w:r>
        <w:rPr>
          <w:rFonts w:eastAsia="仿宋_GB2312"/>
          <w:sz w:val="32"/>
          <w:szCs w:val="32"/>
        </w:rPr>
        <w:t>山较大</w:t>
      </w:r>
      <w:proofErr w:type="gramEnd"/>
      <w:r>
        <w:rPr>
          <w:rFonts w:eastAsia="仿宋_GB2312"/>
          <w:sz w:val="32"/>
          <w:szCs w:val="32"/>
        </w:rPr>
        <w:t>以上风险管控</w:t>
      </w:r>
      <w:r>
        <w:rPr>
          <w:rFonts w:eastAsia="仿宋_GB2312"/>
          <w:sz w:val="32"/>
          <w:szCs w:val="32"/>
        </w:rPr>
        <w:t>“</w:t>
      </w:r>
      <w:r>
        <w:rPr>
          <w:rFonts w:eastAsia="仿宋_GB2312"/>
          <w:sz w:val="32"/>
          <w:szCs w:val="32"/>
        </w:rPr>
        <w:t>一张图</w:t>
      </w:r>
      <w:r>
        <w:rPr>
          <w:rFonts w:eastAsia="仿宋_GB2312"/>
          <w:sz w:val="32"/>
          <w:szCs w:val="32"/>
        </w:rPr>
        <w:t>”</w:t>
      </w:r>
      <w:r>
        <w:rPr>
          <w:rFonts w:eastAsia="仿宋_GB2312"/>
          <w:sz w:val="32"/>
          <w:szCs w:val="32"/>
        </w:rPr>
        <w:t>、重大隐患</w:t>
      </w:r>
      <w:r>
        <w:rPr>
          <w:rFonts w:eastAsia="仿宋_GB2312"/>
          <w:sz w:val="32"/>
          <w:szCs w:val="32"/>
        </w:rPr>
        <w:t>“</w:t>
      </w:r>
      <w:r>
        <w:rPr>
          <w:rFonts w:eastAsia="仿宋_GB2312"/>
          <w:sz w:val="32"/>
          <w:szCs w:val="32"/>
        </w:rPr>
        <w:t>一清单</w:t>
      </w:r>
      <w:r>
        <w:rPr>
          <w:rFonts w:eastAsia="仿宋_GB2312"/>
          <w:sz w:val="32"/>
          <w:szCs w:val="32"/>
        </w:rPr>
        <w:t>”</w:t>
      </w:r>
      <w:r>
        <w:rPr>
          <w:rFonts w:eastAsia="仿宋_GB2312"/>
          <w:sz w:val="32"/>
          <w:szCs w:val="32"/>
        </w:rPr>
        <w:t>和较大以上安全风险管控</w:t>
      </w:r>
      <w:r>
        <w:rPr>
          <w:rFonts w:eastAsia="仿宋_GB2312"/>
          <w:sz w:val="32"/>
          <w:szCs w:val="32"/>
        </w:rPr>
        <w:t>“</w:t>
      </w:r>
      <w:r>
        <w:rPr>
          <w:rFonts w:eastAsia="仿宋_GB2312"/>
          <w:sz w:val="32"/>
          <w:szCs w:val="32"/>
        </w:rPr>
        <w:t>一方案</w:t>
      </w:r>
      <w:r>
        <w:rPr>
          <w:rFonts w:eastAsia="仿宋_GB2312"/>
          <w:sz w:val="32"/>
          <w:szCs w:val="32"/>
        </w:rPr>
        <w:t>”</w:t>
      </w:r>
      <w:r>
        <w:rPr>
          <w:rFonts w:eastAsia="仿宋_GB2312"/>
          <w:sz w:val="32"/>
          <w:szCs w:val="32"/>
        </w:rPr>
        <w:t>及地下矿山六大系统等基础数据录入系统平台，实行远程视频及数据监控，实现事后治理向事前风险管控的转变。</w:t>
      </w:r>
    </w:p>
    <w:p w:rsidR="00363CC0" w:rsidRDefault="00F24112">
      <w:pPr>
        <w:adjustRightInd w:val="0"/>
        <w:snapToGrid w:val="0"/>
        <w:spacing w:line="560" w:lineRule="exact"/>
        <w:ind w:firstLineChars="200" w:firstLine="640"/>
        <w:textAlignment w:val="baseline"/>
        <w:rPr>
          <w:rFonts w:eastAsia="黑体"/>
          <w:color w:val="000000"/>
          <w:sz w:val="32"/>
          <w:szCs w:val="32"/>
        </w:rPr>
      </w:pPr>
      <w:r>
        <w:rPr>
          <w:rFonts w:eastAsia="黑体"/>
          <w:color w:val="000000"/>
          <w:sz w:val="32"/>
          <w:szCs w:val="32"/>
        </w:rPr>
        <w:t>四、工作要求</w:t>
      </w:r>
    </w:p>
    <w:p w:rsidR="00363CC0" w:rsidRDefault="00F24112">
      <w:pPr>
        <w:adjustRightInd w:val="0"/>
        <w:snapToGrid w:val="0"/>
        <w:spacing w:line="560" w:lineRule="exact"/>
        <w:ind w:firstLineChars="200" w:firstLine="643"/>
        <w:textAlignment w:val="baseline"/>
        <w:rPr>
          <w:rFonts w:eastAsia="仿宋_GB2312"/>
          <w:bCs/>
          <w:sz w:val="32"/>
          <w:szCs w:val="32"/>
        </w:rPr>
      </w:pPr>
      <w:r>
        <w:rPr>
          <w:rFonts w:eastAsia="楷体_GB2312"/>
          <w:b/>
          <w:bCs/>
          <w:sz w:val="32"/>
          <w:szCs w:val="32"/>
        </w:rPr>
        <w:lastRenderedPageBreak/>
        <w:t>（一）加强组织领导。</w:t>
      </w:r>
      <w:r>
        <w:rPr>
          <w:rFonts w:eastAsia="仿宋_GB2312"/>
          <w:bCs/>
          <w:sz w:val="32"/>
          <w:szCs w:val="32"/>
        </w:rPr>
        <w:t>各级应急管理部门要</w:t>
      </w:r>
      <w:proofErr w:type="gramStart"/>
      <w:r>
        <w:rPr>
          <w:rFonts w:eastAsia="仿宋_GB2312"/>
          <w:bCs/>
          <w:sz w:val="32"/>
          <w:szCs w:val="32"/>
        </w:rPr>
        <w:t>督促非</w:t>
      </w:r>
      <w:proofErr w:type="gramEnd"/>
      <w:r>
        <w:rPr>
          <w:rFonts w:eastAsia="仿宋_GB2312"/>
          <w:bCs/>
          <w:sz w:val="32"/>
          <w:szCs w:val="32"/>
        </w:rPr>
        <w:t>煤矿山企业将双重预防工作机制建设作为当前安全生产强基础的大事，切实加强组织领导，周密安排部署。紧紧</w:t>
      </w:r>
      <w:r>
        <w:rPr>
          <w:rFonts w:eastAsia="仿宋_GB2312"/>
          <w:bCs/>
          <w:sz w:val="32"/>
          <w:szCs w:val="32"/>
        </w:rPr>
        <w:t>围绕杜绝较大以上事故，突出重点矿区、重点企业、重点环节和重点岗位，抓住辨识管</w:t>
      </w:r>
      <w:proofErr w:type="gramStart"/>
      <w:r>
        <w:rPr>
          <w:rFonts w:eastAsia="仿宋_GB2312"/>
          <w:bCs/>
          <w:sz w:val="32"/>
          <w:szCs w:val="32"/>
        </w:rPr>
        <w:t>控重大</w:t>
      </w:r>
      <w:proofErr w:type="gramEnd"/>
      <w:r>
        <w:rPr>
          <w:rFonts w:eastAsia="仿宋_GB2312"/>
          <w:bCs/>
          <w:sz w:val="32"/>
          <w:szCs w:val="32"/>
        </w:rPr>
        <w:t>风险这一关键，及时排查治理隐患，不断完善工作机制，深化安全整治三年行动，推动各项标准、制度和措施落实到位。</w:t>
      </w:r>
    </w:p>
    <w:p w:rsidR="00363CC0" w:rsidRDefault="00F24112">
      <w:pPr>
        <w:adjustRightInd w:val="0"/>
        <w:snapToGrid w:val="0"/>
        <w:spacing w:line="560" w:lineRule="exact"/>
        <w:ind w:firstLineChars="200" w:firstLine="643"/>
        <w:textAlignment w:val="baseline"/>
        <w:rPr>
          <w:rFonts w:eastAsia="仿宋_GB2312"/>
          <w:sz w:val="32"/>
          <w:szCs w:val="32"/>
        </w:rPr>
      </w:pPr>
      <w:r>
        <w:rPr>
          <w:rFonts w:eastAsia="楷体_GB2312"/>
          <w:b/>
          <w:bCs/>
          <w:sz w:val="32"/>
          <w:szCs w:val="32"/>
        </w:rPr>
        <w:t>（二）落实主体责任。</w:t>
      </w:r>
      <w:r>
        <w:rPr>
          <w:rFonts w:eastAsia="仿宋_GB2312"/>
          <w:sz w:val="32"/>
          <w:szCs w:val="32"/>
        </w:rPr>
        <w:t>非煤矿山企业要根据工作实际和职责分工，从矿级负责人、工区负责人直至班组长，层层带头示范，级级传导压力。自查后形成的《企业安全风险辨识基本情况》《企业安全风险管控表》《重大问题隐患清单》，于</w:t>
      </w:r>
      <w:r>
        <w:rPr>
          <w:rFonts w:eastAsia="仿宋_GB2312"/>
          <w:sz w:val="32"/>
          <w:szCs w:val="32"/>
        </w:rPr>
        <w:t>8</w:t>
      </w:r>
      <w:r>
        <w:rPr>
          <w:rFonts w:eastAsia="仿宋_GB2312"/>
          <w:sz w:val="32"/>
          <w:szCs w:val="32"/>
        </w:rPr>
        <w:t>月</w:t>
      </w:r>
      <w:r>
        <w:rPr>
          <w:rFonts w:eastAsia="仿宋_GB2312"/>
          <w:sz w:val="32"/>
          <w:szCs w:val="32"/>
        </w:rPr>
        <w:t>31</w:t>
      </w:r>
      <w:r>
        <w:rPr>
          <w:rFonts w:eastAsia="仿宋_GB2312"/>
          <w:sz w:val="32"/>
          <w:szCs w:val="32"/>
        </w:rPr>
        <w:t>日前报当地县级应急管理部门；中央在湘和</w:t>
      </w:r>
      <w:proofErr w:type="gramStart"/>
      <w:r>
        <w:rPr>
          <w:rFonts w:eastAsia="仿宋_GB2312"/>
          <w:sz w:val="32"/>
          <w:szCs w:val="32"/>
        </w:rPr>
        <w:t>省属非</w:t>
      </w:r>
      <w:proofErr w:type="gramEnd"/>
      <w:r>
        <w:rPr>
          <w:rFonts w:eastAsia="仿宋_GB2312"/>
          <w:sz w:val="32"/>
          <w:szCs w:val="32"/>
        </w:rPr>
        <w:t>煤矿山企业相关</w:t>
      </w:r>
      <w:proofErr w:type="gramStart"/>
      <w:r>
        <w:rPr>
          <w:rFonts w:eastAsia="仿宋_GB2312"/>
          <w:sz w:val="32"/>
          <w:szCs w:val="32"/>
        </w:rPr>
        <w:t>报表报属地市级</w:t>
      </w:r>
      <w:proofErr w:type="gramEnd"/>
      <w:r>
        <w:rPr>
          <w:rFonts w:eastAsia="仿宋_GB2312"/>
          <w:sz w:val="32"/>
          <w:szCs w:val="32"/>
        </w:rPr>
        <w:t>应急管理部门。重大风险和重大隐患的</w:t>
      </w:r>
      <w:r>
        <w:rPr>
          <w:rFonts w:eastAsia="仿宋_GB2312"/>
          <w:sz w:val="32"/>
          <w:szCs w:val="32"/>
        </w:rPr>
        <w:t>管控和治理，由企业主要负责人组织实施。市州应急管理局于</w:t>
      </w:r>
      <w:r>
        <w:rPr>
          <w:rFonts w:eastAsia="仿宋_GB2312"/>
          <w:sz w:val="32"/>
          <w:szCs w:val="32"/>
        </w:rPr>
        <w:t>9</w:t>
      </w:r>
      <w:r>
        <w:rPr>
          <w:rFonts w:eastAsia="仿宋_GB2312"/>
          <w:sz w:val="32"/>
          <w:szCs w:val="32"/>
        </w:rPr>
        <w:t>月</w:t>
      </w:r>
      <w:r>
        <w:rPr>
          <w:rFonts w:eastAsia="仿宋_GB2312"/>
          <w:sz w:val="32"/>
          <w:szCs w:val="32"/>
        </w:rPr>
        <w:t>15</w:t>
      </w:r>
      <w:r>
        <w:rPr>
          <w:rFonts w:eastAsia="仿宋_GB2312"/>
          <w:sz w:val="32"/>
          <w:szCs w:val="32"/>
        </w:rPr>
        <w:t>日前将《市州非煤矿山企业分类台账》《重大问题隐患清单》报省厅。</w:t>
      </w:r>
    </w:p>
    <w:p w:rsidR="00363CC0" w:rsidRDefault="00F24112">
      <w:pPr>
        <w:adjustRightInd w:val="0"/>
        <w:snapToGrid w:val="0"/>
        <w:spacing w:line="560" w:lineRule="exact"/>
        <w:ind w:firstLineChars="200" w:firstLine="643"/>
        <w:textAlignment w:val="baseline"/>
        <w:rPr>
          <w:rFonts w:eastAsia="楷体"/>
          <w:sz w:val="32"/>
          <w:szCs w:val="32"/>
        </w:rPr>
      </w:pPr>
      <w:r>
        <w:rPr>
          <w:rFonts w:eastAsia="楷体_GB2312"/>
          <w:b/>
          <w:bCs/>
          <w:sz w:val="32"/>
          <w:szCs w:val="32"/>
        </w:rPr>
        <w:t>（三）构建长效机制。</w:t>
      </w:r>
      <w:r>
        <w:rPr>
          <w:rFonts w:eastAsia="仿宋_GB2312"/>
          <w:sz w:val="32"/>
          <w:szCs w:val="32"/>
        </w:rPr>
        <w:t>非煤矿山企业要结合安全确认、班前会等日常工作，进一步完善双重预防工作机制，加强安全风险辨识和隐患排查治理制度建设，按要求开展安全风险隐患排查工作，及时更新和安排专人上报企业风险和隐患情况。</w:t>
      </w:r>
    </w:p>
    <w:p w:rsidR="00363CC0" w:rsidRDefault="00363CC0">
      <w:pPr>
        <w:adjustRightInd w:val="0"/>
        <w:snapToGrid w:val="0"/>
        <w:spacing w:line="560" w:lineRule="exact"/>
        <w:ind w:firstLineChars="200" w:firstLine="640"/>
        <w:textAlignment w:val="baseline"/>
        <w:rPr>
          <w:rFonts w:eastAsia="黑体"/>
          <w:bCs/>
          <w:sz w:val="32"/>
          <w:szCs w:val="32"/>
        </w:rPr>
      </w:pPr>
    </w:p>
    <w:p w:rsidR="00363CC0" w:rsidRDefault="00F24112">
      <w:pPr>
        <w:adjustRightInd w:val="0"/>
        <w:snapToGrid w:val="0"/>
        <w:spacing w:line="560" w:lineRule="exact"/>
        <w:ind w:firstLineChars="200" w:firstLine="640"/>
        <w:textAlignment w:val="baseline"/>
        <w:rPr>
          <w:rFonts w:eastAsia="仿宋_GB2312"/>
          <w:bCs/>
          <w:sz w:val="32"/>
          <w:szCs w:val="32"/>
        </w:rPr>
      </w:pPr>
      <w:r>
        <w:rPr>
          <w:rFonts w:eastAsia="仿宋_GB2312"/>
          <w:bCs/>
          <w:sz w:val="32"/>
          <w:szCs w:val="32"/>
        </w:rPr>
        <w:t>附件</w:t>
      </w:r>
      <w:r>
        <w:rPr>
          <w:rFonts w:eastAsia="黑体"/>
          <w:bCs/>
          <w:sz w:val="32"/>
          <w:szCs w:val="32"/>
        </w:rPr>
        <w:t>：</w:t>
      </w:r>
      <w:r>
        <w:rPr>
          <w:rFonts w:eastAsia="仿宋_GB2312"/>
          <w:bCs/>
          <w:sz w:val="32"/>
          <w:szCs w:val="32"/>
        </w:rPr>
        <w:t>1</w:t>
      </w:r>
      <w:r>
        <w:rPr>
          <w:rFonts w:eastAsia="仿宋_GB2312"/>
          <w:bCs/>
          <w:sz w:val="32"/>
          <w:szCs w:val="32"/>
        </w:rPr>
        <w:t>．企业安全风险管控表</w:t>
      </w:r>
    </w:p>
    <w:p w:rsidR="00363CC0" w:rsidRDefault="00F24112">
      <w:pPr>
        <w:adjustRightInd w:val="0"/>
        <w:snapToGrid w:val="0"/>
        <w:spacing w:line="560" w:lineRule="exact"/>
        <w:ind w:firstLineChars="500" w:firstLine="1600"/>
        <w:textAlignment w:val="baseline"/>
        <w:rPr>
          <w:rFonts w:eastAsia="仿宋_GB2312"/>
          <w:bCs/>
          <w:sz w:val="32"/>
          <w:szCs w:val="32"/>
        </w:rPr>
      </w:pPr>
      <w:r>
        <w:rPr>
          <w:rFonts w:eastAsia="仿宋_GB2312"/>
          <w:bCs/>
          <w:sz w:val="32"/>
          <w:szCs w:val="32"/>
        </w:rPr>
        <w:t>2</w:t>
      </w:r>
      <w:r>
        <w:rPr>
          <w:rFonts w:eastAsia="仿宋_GB2312"/>
          <w:bCs/>
          <w:sz w:val="32"/>
          <w:szCs w:val="32"/>
        </w:rPr>
        <w:t>．企业安全风险辨识基本情况</w:t>
      </w:r>
    </w:p>
    <w:p w:rsidR="00363CC0" w:rsidRDefault="00F24112">
      <w:pPr>
        <w:adjustRightInd w:val="0"/>
        <w:snapToGrid w:val="0"/>
        <w:spacing w:line="560" w:lineRule="exact"/>
        <w:ind w:firstLineChars="500" w:firstLine="1600"/>
        <w:textAlignment w:val="baseline"/>
        <w:rPr>
          <w:rFonts w:eastAsia="仿宋_GB2312"/>
          <w:bCs/>
          <w:sz w:val="32"/>
          <w:szCs w:val="32"/>
        </w:rPr>
      </w:pPr>
      <w:r>
        <w:rPr>
          <w:rFonts w:eastAsia="仿宋_GB2312"/>
          <w:bCs/>
          <w:sz w:val="32"/>
          <w:szCs w:val="32"/>
        </w:rPr>
        <w:t>3</w:t>
      </w:r>
      <w:r>
        <w:rPr>
          <w:rFonts w:eastAsia="仿宋_GB2312"/>
          <w:bCs/>
          <w:sz w:val="32"/>
          <w:szCs w:val="32"/>
        </w:rPr>
        <w:t>．非煤矿山企业重大隐患清单</w:t>
      </w:r>
    </w:p>
    <w:p w:rsidR="00363CC0" w:rsidRDefault="00F24112">
      <w:pPr>
        <w:adjustRightInd w:val="0"/>
        <w:snapToGrid w:val="0"/>
        <w:spacing w:line="560" w:lineRule="exact"/>
        <w:ind w:firstLineChars="500" w:firstLine="1600"/>
        <w:textAlignment w:val="baseline"/>
        <w:rPr>
          <w:rFonts w:eastAsia="仿宋_GB2312"/>
          <w:bCs/>
          <w:sz w:val="32"/>
          <w:szCs w:val="32"/>
        </w:rPr>
      </w:pPr>
      <w:r>
        <w:rPr>
          <w:rFonts w:eastAsia="仿宋_GB2312"/>
          <w:bCs/>
          <w:sz w:val="32"/>
          <w:szCs w:val="32"/>
        </w:rPr>
        <w:lastRenderedPageBreak/>
        <w:t>4</w:t>
      </w:r>
      <w:r>
        <w:rPr>
          <w:rFonts w:eastAsia="仿宋_GB2312"/>
          <w:bCs/>
          <w:sz w:val="32"/>
          <w:szCs w:val="32"/>
        </w:rPr>
        <w:t>．</w:t>
      </w:r>
      <w:r>
        <w:rPr>
          <w:rFonts w:eastAsia="仿宋_GB2312"/>
          <w:sz w:val="32"/>
          <w:szCs w:val="32"/>
        </w:rPr>
        <w:t>湖南省非煤矿山企业分类监管判定标准</w:t>
      </w:r>
    </w:p>
    <w:p w:rsidR="00363CC0" w:rsidRDefault="00F24112">
      <w:pPr>
        <w:adjustRightInd w:val="0"/>
        <w:snapToGrid w:val="0"/>
        <w:spacing w:line="560" w:lineRule="exact"/>
        <w:ind w:firstLineChars="500" w:firstLine="1600"/>
        <w:textAlignment w:val="baseline"/>
        <w:rPr>
          <w:rFonts w:eastAsia="仿宋_GB2312"/>
          <w:bCs/>
          <w:sz w:val="32"/>
          <w:szCs w:val="32"/>
        </w:rPr>
      </w:pPr>
      <w:r>
        <w:rPr>
          <w:rFonts w:eastAsia="仿宋_GB2312"/>
          <w:bCs/>
          <w:sz w:val="32"/>
          <w:szCs w:val="32"/>
        </w:rPr>
        <w:t>5</w:t>
      </w:r>
      <w:r>
        <w:rPr>
          <w:rFonts w:eastAsia="仿宋_GB2312"/>
          <w:bCs/>
          <w:sz w:val="32"/>
          <w:szCs w:val="32"/>
        </w:rPr>
        <w:t>．市（州）非煤矿山企业</w:t>
      </w:r>
      <w:proofErr w:type="gramStart"/>
      <w:r>
        <w:rPr>
          <w:rFonts w:eastAsia="仿宋_GB2312"/>
          <w:bCs/>
          <w:sz w:val="32"/>
          <w:szCs w:val="32"/>
        </w:rPr>
        <w:t>分类台</w:t>
      </w:r>
      <w:proofErr w:type="gramEnd"/>
      <w:r>
        <w:rPr>
          <w:rFonts w:eastAsia="仿宋_GB2312"/>
          <w:bCs/>
          <w:sz w:val="32"/>
          <w:szCs w:val="32"/>
        </w:rPr>
        <w:t>账</w:t>
      </w:r>
    </w:p>
    <w:p w:rsidR="00363CC0" w:rsidRDefault="00F24112">
      <w:pPr>
        <w:adjustRightInd w:val="0"/>
        <w:snapToGrid w:val="0"/>
        <w:spacing w:line="560" w:lineRule="exact"/>
        <w:ind w:firstLineChars="500" w:firstLine="1600"/>
        <w:textAlignment w:val="baseline"/>
        <w:rPr>
          <w:rFonts w:eastAsia="仿宋_GB2312"/>
          <w:bCs/>
          <w:sz w:val="32"/>
          <w:szCs w:val="32"/>
        </w:rPr>
      </w:pPr>
      <w:r>
        <w:rPr>
          <w:rFonts w:eastAsia="仿宋_GB2312"/>
          <w:bCs/>
          <w:sz w:val="32"/>
          <w:szCs w:val="32"/>
        </w:rPr>
        <w:t>6</w:t>
      </w:r>
      <w:r>
        <w:rPr>
          <w:rFonts w:eastAsia="仿宋_GB2312"/>
          <w:bCs/>
          <w:sz w:val="32"/>
          <w:szCs w:val="32"/>
        </w:rPr>
        <w:t>．非煤矿山企业安全风险管</w:t>
      </w:r>
      <w:proofErr w:type="gramStart"/>
      <w:r>
        <w:rPr>
          <w:rFonts w:eastAsia="仿宋_GB2312"/>
          <w:bCs/>
          <w:sz w:val="32"/>
          <w:szCs w:val="32"/>
        </w:rPr>
        <w:t>控基本</w:t>
      </w:r>
      <w:proofErr w:type="gramEnd"/>
      <w:r>
        <w:rPr>
          <w:rFonts w:eastAsia="仿宋_GB2312"/>
          <w:bCs/>
          <w:sz w:val="32"/>
          <w:szCs w:val="32"/>
        </w:rPr>
        <w:t>要求表</w:t>
      </w:r>
    </w:p>
    <w:p w:rsidR="00363CC0" w:rsidRDefault="00F24112">
      <w:pPr>
        <w:adjustRightInd w:val="0"/>
        <w:snapToGrid w:val="0"/>
        <w:spacing w:line="560" w:lineRule="exact"/>
        <w:ind w:firstLineChars="500" w:firstLine="1600"/>
        <w:textAlignment w:val="baseline"/>
        <w:rPr>
          <w:rFonts w:eastAsia="仿宋_GB2312"/>
          <w:bCs/>
          <w:sz w:val="32"/>
          <w:szCs w:val="32"/>
        </w:rPr>
      </w:pPr>
      <w:r>
        <w:rPr>
          <w:rFonts w:eastAsia="仿宋_GB2312"/>
          <w:bCs/>
          <w:sz w:val="32"/>
          <w:szCs w:val="32"/>
        </w:rPr>
        <w:t>7</w:t>
      </w:r>
      <w:r>
        <w:rPr>
          <w:rFonts w:eastAsia="仿宋_GB2312"/>
          <w:bCs/>
          <w:sz w:val="32"/>
          <w:szCs w:val="32"/>
        </w:rPr>
        <w:t>．非煤矿山企业隐患排查治理基本要求表</w:t>
      </w:r>
    </w:p>
    <w:p w:rsidR="00363CC0" w:rsidRDefault="00363CC0">
      <w:pPr>
        <w:adjustRightInd w:val="0"/>
        <w:snapToGrid w:val="0"/>
        <w:spacing w:line="560" w:lineRule="exact"/>
        <w:textAlignment w:val="baseline"/>
        <w:rPr>
          <w:rFonts w:eastAsia="仿宋_GB2312"/>
          <w:bCs/>
          <w:sz w:val="32"/>
          <w:szCs w:val="32"/>
        </w:rPr>
        <w:sectPr w:rsidR="00363CC0">
          <w:footerReference w:type="even" r:id="rId8"/>
          <w:footerReference w:type="default" r:id="rId9"/>
          <w:pgSz w:w="11906" w:h="16838"/>
          <w:pgMar w:top="2098" w:right="1474" w:bottom="1984" w:left="1587" w:header="851" w:footer="992" w:gutter="0"/>
          <w:pgNumType w:fmt="numberInDash"/>
          <w:cols w:space="720"/>
          <w:titlePg/>
          <w:docGrid w:linePitch="312"/>
        </w:sectPr>
      </w:pPr>
    </w:p>
    <w:p w:rsidR="00363CC0" w:rsidRDefault="00F24112">
      <w:pPr>
        <w:adjustRightInd w:val="0"/>
        <w:snapToGrid w:val="0"/>
        <w:textAlignment w:val="baseline"/>
        <w:rPr>
          <w:rFonts w:eastAsia="黑体"/>
          <w:bCs/>
          <w:kern w:val="0"/>
          <w:sz w:val="32"/>
          <w:szCs w:val="32"/>
        </w:rPr>
      </w:pPr>
      <w:r>
        <w:rPr>
          <w:rFonts w:eastAsia="黑体"/>
          <w:bCs/>
          <w:kern w:val="0"/>
          <w:sz w:val="32"/>
          <w:szCs w:val="32"/>
        </w:rPr>
        <w:lastRenderedPageBreak/>
        <w:t>附件</w:t>
      </w:r>
      <w:r>
        <w:rPr>
          <w:rFonts w:eastAsia="黑体"/>
          <w:bCs/>
          <w:kern w:val="0"/>
          <w:sz w:val="32"/>
          <w:szCs w:val="32"/>
        </w:rPr>
        <w:t>1</w:t>
      </w:r>
    </w:p>
    <w:p w:rsidR="00363CC0" w:rsidRDefault="00363CC0">
      <w:pPr>
        <w:adjustRightInd w:val="0"/>
        <w:snapToGrid w:val="0"/>
        <w:textAlignment w:val="baseline"/>
        <w:rPr>
          <w:rFonts w:eastAsia="黑体"/>
          <w:bCs/>
          <w:kern w:val="0"/>
          <w:sz w:val="32"/>
          <w:szCs w:val="32"/>
        </w:rPr>
      </w:pPr>
    </w:p>
    <w:p w:rsidR="00363CC0" w:rsidRDefault="00F24112">
      <w:pPr>
        <w:adjustRightInd w:val="0"/>
        <w:snapToGrid w:val="0"/>
        <w:jc w:val="center"/>
        <w:textAlignment w:val="baseline"/>
        <w:rPr>
          <w:rFonts w:eastAsia="方正小标宋简体"/>
          <w:bCs/>
          <w:kern w:val="0"/>
          <w:sz w:val="44"/>
          <w:szCs w:val="44"/>
        </w:rPr>
      </w:pPr>
      <w:r>
        <w:rPr>
          <w:rFonts w:eastAsia="方正小标宋简体"/>
          <w:bCs/>
          <w:kern w:val="0"/>
          <w:sz w:val="44"/>
          <w:szCs w:val="44"/>
        </w:rPr>
        <w:t>企业安全风险管控表</w:t>
      </w:r>
    </w:p>
    <w:p w:rsidR="00363CC0" w:rsidRDefault="00363CC0"/>
    <w:tbl>
      <w:tblPr>
        <w:tblW w:w="122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24"/>
        <w:gridCol w:w="1554"/>
        <w:gridCol w:w="1842"/>
        <w:gridCol w:w="1134"/>
        <w:gridCol w:w="1134"/>
        <w:gridCol w:w="2694"/>
        <w:gridCol w:w="992"/>
        <w:gridCol w:w="1131"/>
        <w:gridCol w:w="995"/>
      </w:tblGrid>
      <w:tr w:rsidR="00363CC0">
        <w:trPr>
          <w:trHeight w:val="567"/>
          <w:jc w:val="center"/>
        </w:trPr>
        <w:tc>
          <w:tcPr>
            <w:tcW w:w="724" w:type="dxa"/>
            <w:tcBorders>
              <w:top w:val="single" w:sz="12" w:space="0" w:color="000000"/>
              <w:bottom w:val="single" w:sz="12" w:space="0" w:color="000000"/>
            </w:tcBorders>
            <w:vAlign w:val="center"/>
          </w:tcPr>
          <w:p w:rsidR="00363CC0" w:rsidRDefault="00F24112">
            <w:pPr>
              <w:adjustRightInd w:val="0"/>
              <w:snapToGrid w:val="0"/>
              <w:jc w:val="center"/>
              <w:textAlignment w:val="center"/>
              <w:rPr>
                <w:b/>
                <w:sz w:val="20"/>
                <w:szCs w:val="21"/>
              </w:rPr>
            </w:pPr>
            <w:r>
              <w:rPr>
                <w:b/>
                <w:kern w:val="0"/>
                <w:szCs w:val="21"/>
              </w:rPr>
              <w:t>序号</w:t>
            </w:r>
          </w:p>
        </w:tc>
        <w:tc>
          <w:tcPr>
            <w:tcW w:w="1554" w:type="dxa"/>
            <w:tcBorders>
              <w:top w:val="single" w:sz="12" w:space="0" w:color="000000"/>
              <w:bottom w:val="single" w:sz="12" w:space="0" w:color="000000"/>
            </w:tcBorders>
            <w:vAlign w:val="center"/>
          </w:tcPr>
          <w:p w:rsidR="00363CC0" w:rsidRDefault="00F24112">
            <w:pPr>
              <w:adjustRightInd w:val="0"/>
              <w:snapToGrid w:val="0"/>
              <w:jc w:val="center"/>
              <w:textAlignment w:val="center"/>
              <w:rPr>
                <w:b/>
                <w:sz w:val="20"/>
                <w:szCs w:val="21"/>
              </w:rPr>
            </w:pPr>
            <w:r>
              <w:rPr>
                <w:b/>
                <w:kern w:val="0"/>
                <w:szCs w:val="21"/>
              </w:rPr>
              <w:t>岗位（设备设施</w:t>
            </w:r>
            <w:r>
              <w:rPr>
                <w:b/>
                <w:kern w:val="0"/>
                <w:szCs w:val="21"/>
              </w:rPr>
              <w:t>/</w:t>
            </w:r>
            <w:r>
              <w:rPr>
                <w:b/>
                <w:kern w:val="0"/>
                <w:szCs w:val="21"/>
              </w:rPr>
              <w:t>作业活动）</w:t>
            </w:r>
          </w:p>
        </w:tc>
        <w:tc>
          <w:tcPr>
            <w:tcW w:w="1842" w:type="dxa"/>
            <w:tcBorders>
              <w:top w:val="single" w:sz="12" w:space="0" w:color="000000"/>
              <w:bottom w:val="single" w:sz="12" w:space="0" w:color="000000"/>
            </w:tcBorders>
            <w:vAlign w:val="center"/>
          </w:tcPr>
          <w:p w:rsidR="00363CC0" w:rsidRDefault="00F24112">
            <w:pPr>
              <w:adjustRightInd w:val="0"/>
              <w:snapToGrid w:val="0"/>
              <w:jc w:val="center"/>
              <w:textAlignment w:val="center"/>
              <w:rPr>
                <w:b/>
                <w:sz w:val="20"/>
                <w:szCs w:val="21"/>
              </w:rPr>
            </w:pPr>
            <w:r>
              <w:rPr>
                <w:b/>
                <w:kern w:val="0"/>
                <w:szCs w:val="21"/>
              </w:rPr>
              <w:t>危险有害因素</w:t>
            </w:r>
          </w:p>
        </w:tc>
        <w:tc>
          <w:tcPr>
            <w:tcW w:w="1134" w:type="dxa"/>
            <w:tcBorders>
              <w:top w:val="single" w:sz="12" w:space="0" w:color="000000"/>
              <w:bottom w:val="single" w:sz="12" w:space="0" w:color="000000"/>
            </w:tcBorders>
            <w:vAlign w:val="center"/>
          </w:tcPr>
          <w:p w:rsidR="00363CC0" w:rsidRDefault="00F24112">
            <w:pPr>
              <w:adjustRightInd w:val="0"/>
              <w:snapToGrid w:val="0"/>
              <w:jc w:val="center"/>
              <w:textAlignment w:val="center"/>
              <w:rPr>
                <w:b/>
                <w:sz w:val="20"/>
                <w:szCs w:val="21"/>
              </w:rPr>
            </w:pPr>
            <w:r>
              <w:rPr>
                <w:b/>
                <w:kern w:val="0"/>
                <w:szCs w:val="21"/>
              </w:rPr>
              <w:t>易发生的事故类型</w:t>
            </w:r>
          </w:p>
        </w:tc>
        <w:tc>
          <w:tcPr>
            <w:tcW w:w="1134" w:type="dxa"/>
            <w:tcBorders>
              <w:top w:val="single" w:sz="12" w:space="0" w:color="000000"/>
              <w:bottom w:val="single" w:sz="12" w:space="0" w:color="000000"/>
            </w:tcBorders>
            <w:vAlign w:val="center"/>
          </w:tcPr>
          <w:p w:rsidR="00363CC0" w:rsidRDefault="00F24112">
            <w:pPr>
              <w:adjustRightInd w:val="0"/>
              <w:snapToGrid w:val="0"/>
              <w:jc w:val="center"/>
              <w:textAlignment w:val="center"/>
              <w:rPr>
                <w:b/>
                <w:sz w:val="20"/>
                <w:szCs w:val="21"/>
              </w:rPr>
            </w:pPr>
            <w:r>
              <w:rPr>
                <w:b/>
                <w:kern w:val="0"/>
                <w:szCs w:val="21"/>
              </w:rPr>
              <w:t>安全风险等级</w:t>
            </w:r>
          </w:p>
        </w:tc>
        <w:tc>
          <w:tcPr>
            <w:tcW w:w="2694" w:type="dxa"/>
            <w:tcBorders>
              <w:top w:val="single" w:sz="12" w:space="0" w:color="000000"/>
              <w:bottom w:val="single" w:sz="12" w:space="0" w:color="000000"/>
            </w:tcBorders>
            <w:vAlign w:val="center"/>
          </w:tcPr>
          <w:p w:rsidR="00363CC0" w:rsidRDefault="00F24112">
            <w:pPr>
              <w:adjustRightInd w:val="0"/>
              <w:snapToGrid w:val="0"/>
              <w:jc w:val="center"/>
              <w:textAlignment w:val="center"/>
              <w:rPr>
                <w:b/>
                <w:sz w:val="20"/>
                <w:szCs w:val="21"/>
              </w:rPr>
            </w:pPr>
            <w:r>
              <w:rPr>
                <w:b/>
                <w:kern w:val="0"/>
                <w:szCs w:val="21"/>
              </w:rPr>
              <w:t>管控措施</w:t>
            </w:r>
          </w:p>
        </w:tc>
        <w:tc>
          <w:tcPr>
            <w:tcW w:w="992" w:type="dxa"/>
            <w:tcBorders>
              <w:top w:val="single" w:sz="12" w:space="0" w:color="000000"/>
              <w:bottom w:val="single" w:sz="12" w:space="0" w:color="000000"/>
            </w:tcBorders>
            <w:vAlign w:val="center"/>
          </w:tcPr>
          <w:p w:rsidR="00363CC0" w:rsidRDefault="00F24112">
            <w:pPr>
              <w:adjustRightInd w:val="0"/>
              <w:snapToGrid w:val="0"/>
              <w:jc w:val="center"/>
              <w:textAlignment w:val="center"/>
              <w:rPr>
                <w:b/>
                <w:sz w:val="20"/>
                <w:szCs w:val="21"/>
              </w:rPr>
            </w:pPr>
            <w:r>
              <w:rPr>
                <w:b/>
                <w:kern w:val="0"/>
                <w:szCs w:val="21"/>
              </w:rPr>
              <w:t>管控层级</w:t>
            </w:r>
          </w:p>
        </w:tc>
        <w:tc>
          <w:tcPr>
            <w:tcW w:w="1131" w:type="dxa"/>
            <w:tcBorders>
              <w:top w:val="single" w:sz="12" w:space="0" w:color="000000"/>
              <w:bottom w:val="single" w:sz="12" w:space="0" w:color="000000"/>
            </w:tcBorders>
            <w:vAlign w:val="center"/>
          </w:tcPr>
          <w:p w:rsidR="00363CC0" w:rsidRDefault="00F24112">
            <w:pPr>
              <w:adjustRightInd w:val="0"/>
              <w:snapToGrid w:val="0"/>
              <w:jc w:val="center"/>
              <w:textAlignment w:val="center"/>
              <w:rPr>
                <w:b/>
                <w:sz w:val="20"/>
                <w:szCs w:val="21"/>
              </w:rPr>
            </w:pPr>
            <w:r>
              <w:rPr>
                <w:b/>
                <w:kern w:val="0"/>
                <w:szCs w:val="21"/>
              </w:rPr>
              <w:t>责任部门</w:t>
            </w:r>
          </w:p>
        </w:tc>
        <w:tc>
          <w:tcPr>
            <w:tcW w:w="995" w:type="dxa"/>
            <w:tcBorders>
              <w:top w:val="single" w:sz="12" w:space="0" w:color="000000"/>
              <w:bottom w:val="single" w:sz="12" w:space="0" w:color="000000"/>
            </w:tcBorders>
            <w:vAlign w:val="center"/>
          </w:tcPr>
          <w:p w:rsidR="00363CC0" w:rsidRDefault="00F24112">
            <w:pPr>
              <w:adjustRightInd w:val="0"/>
              <w:snapToGrid w:val="0"/>
              <w:jc w:val="center"/>
              <w:textAlignment w:val="center"/>
              <w:rPr>
                <w:b/>
                <w:sz w:val="20"/>
                <w:szCs w:val="21"/>
              </w:rPr>
            </w:pPr>
            <w:r>
              <w:rPr>
                <w:b/>
                <w:kern w:val="0"/>
                <w:szCs w:val="21"/>
              </w:rPr>
              <w:t>责任人</w:t>
            </w:r>
          </w:p>
        </w:tc>
      </w:tr>
      <w:tr w:rsidR="00363CC0">
        <w:trPr>
          <w:trHeight w:val="1037"/>
          <w:jc w:val="center"/>
        </w:trPr>
        <w:tc>
          <w:tcPr>
            <w:tcW w:w="724" w:type="dxa"/>
            <w:tcBorders>
              <w:bottom w:val="single" w:sz="4" w:space="0" w:color="auto"/>
            </w:tcBorders>
            <w:vAlign w:val="center"/>
          </w:tcPr>
          <w:p w:rsidR="00363CC0" w:rsidRDefault="00363CC0">
            <w:pPr>
              <w:adjustRightInd w:val="0"/>
              <w:snapToGrid w:val="0"/>
              <w:jc w:val="center"/>
              <w:textAlignment w:val="center"/>
              <w:rPr>
                <w:kern w:val="0"/>
                <w:sz w:val="20"/>
                <w:szCs w:val="21"/>
              </w:rPr>
            </w:pPr>
          </w:p>
        </w:tc>
        <w:tc>
          <w:tcPr>
            <w:tcW w:w="1554" w:type="dxa"/>
            <w:tcBorders>
              <w:bottom w:val="single" w:sz="4" w:space="0" w:color="auto"/>
            </w:tcBorders>
            <w:vAlign w:val="center"/>
          </w:tcPr>
          <w:p w:rsidR="00363CC0" w:rsidRDefault="00363CC0">
            <w:pPr>
              <w:adjustRightInd w:val="0"/>
              <w:snapToGrid w:val="0"/>
              <w:jc w:val="center"/>
              <w:textAlignment w:val="center"/>
              <w:rPr>
                <w:kern w:val="0"/>
                <w:sz w:val="20"/>
                <w:szCs w:val="21"/>
              </w:rPr>
            </w:pPr>
          </w:p>
        </w:tc>
        <w:tc>
          <w:tcPr>
            <w:tcW w:w="1842" w:type="dxa"/>
            <w:tcBorders>
              <w:bottom w:val="single" w:sz="4" w:space="0" w:color="auto"/>
            </w:tcBorders>
            <w:vAlign w:val="center"/>
          </w:tcPr>
          <w:p w:rsidR="00363CC0" w:rsidRDefault="00363CC0">
            <w:pPr>
              <w:adjustRightInd w:val="0"/>
              <w:snapToGrid w:val="0"/>
              <w:jc w:val="center"/>
              <w:textAlignment w:val="center"/>
              <w:rPr>
                <w:kern w:val="0"/>
                <w:sz w:val="20"/>
                <w:szCs w:val="21"/>
              </w:rPr>
            </w:pPr>
          </w:p>
        </w:tc>
        <w:tc>
          <w:tcPr>
            <w:tcW w:w="1134" w:type="dxa"/>
            <w:tcBorders>
              <w:bottom w:val="single" w:sz="4" w:space="0" w:color="auto"/>
            </w:tcBorders>
            <w:vAlign w:val="center"/>
          </w:tcPr>
          <w:p w:rsidR="00363CC0" w:rsidRDefault="00363CC0">
            <w:pPr>
              <w:adjustRightInd w:val="0"/>
              <w:snapToGrid w:val="0"/>
              <w:jc w:val="center"/>
              <w:textAlignment w:val="center"/>
              <w:rPr>
                <w:kern w:val="0"/>
                <w:sz w:val="20"/>
                <w:szCs w:val="21"/>
              </w:rPr>
            </w:pPr>
          </w:p>
        </w:tc>
        <w:tc>
          <w:tcPr>
            <w:tcW w:w="1134" w:type="dxa"/>
            <w:tcBorders>
              <w:bottom w:val="single" w:sz="4" w:space="0" w:color="auto"/>
            </w:tcBorders>
            <w:vAlign w:val="center"/>
          </w:tcPr>
          <w:p w:rsidR="00363CC0" w:rsidRDefault="00363CC0">
            <w:pPr>
              <w:adjustRightInd w:val="0"/>
              <w:snapToGrid w:val="0"/>
              <w:jc w:val="center"/>
              <w:textAlignment w:val="center"/>
              <w:rPr>
                <w:kern w:val="0"/>
                <w:sz w:val="20"/>
                <w:szCs w:val="21"/>
              </w:rPr>
            </w:pPr>
          </w:p>
        </w:tc>
        <w:tc>
          <w:tcPr>
            <w:tcW w:w="2694" w:type="dxa"/>
            <w:tcBorders>
              <w:bottom w:val="single" w:sz="4" w:space="0" w:color="auto"/>
            </w:tcBorders>
            <w:vAlign w:val="center"/>
          </w:tcPr>
          <w:p w:rsidR="00363CC0" w:rsidRDefault="00363CC0">
            <w:pPr>
              <w:adjustRightInd w:val="0"/>
              <w:snapToGrid w:val="0"/>
              <w:jc w:val="center"/>
              <w:textAlignment w:val="center"/>
              <w:rPr>
                <w:kern w:val="0"/>
                <w:sz w:val="20"/>
                <w:szCs w:val="21"/>
              </w:rPr>
            </w:pPr>
          </w:p>
        </w:tc>
        <w:tc>
          <w:tcPr>
            <w:tcW w:w="992" w:type="dxa"/>
            <w:tcBorders>
              <w:bottom w:val="single" w:sz="4" w:space="0" w:color="auto"/>
            </w:tcBorders>
            <w:vAlign w:val="center"/>
          </w:tcPr>
          <w:p w:rsidR="00363CC0" w:rsidRDefault="00363CC0">
            <w:pPr>
              <w:adjustRightInd w:val="0"/>
              <w:snapToGrid w:val="0"/>
              <w:jc w:val="center"/>
              <w:textAlignment w:val="center"/>
              <w:rPr>
                <w:kern w:val="0"/>
                <w:sz w:val="20"/>
                <w:szCs w:val="21"/>
              </w:rPr>
            </w:pPr>
          </w:p>
        </w:tc>
        <w:tc>
          <w:tcPr>
            <w:tcW w:w="1131" w:type="dxa"/>
            <w:tcBorders>
              <w:bottom w:val="single" w:sz="4" w:space="0" w:color="auto"/>
            </w:tcBorders>
            <w:vAlign w:val="center"/>
          </w:tcPr>
          <w:p w:rsidR="00363CC0" w:rsidRDefault="00363CC0">
            <w:pPr>
              <w:adjustRightInd w:val="0"/>
              <w:snapToGrid w:val="0"/>
              <w:jc w:val="center"/>
              <w:textAlignment w:val="center"/>
              <w:rPr>
                <w:kern w:val="0"/>
                <w:sz w:val="20"/>
                <w:szCs w:val="21"/>
              </w:rPr>
            </w:pPr>
          </w:p>
        </w:tc>
        <w:tc>
          <w:tcPr>
            <w:tcW w:w="995" w:type="dxa"/>
            <w:tcBorders>
              <w:bottom w:val="single" w:sz="4" w:space="0" w:color="auto"/>
            </w:tcBorders>
            <w:vAlign w:val="center"/>
          </w:tcPr>
          <w:p w:rsidR="00363CC0" w:rsidRDefault="00363CC0">
            <w:pPr>
              <w:adjustRightInd w:val="0"/>
              <w:snapToGrid w:val="0"/>
              <w:jc w:val="center"/>
              <w:textAlignment w:val="center"/>
              <w:rPr>
                <w:kern w:val="0"/>
                <w:sz w:val="20"/>
                <w:szCs w:val="21"/>
              </w:rPr>
            </w:pPr>
          </w:p>
        </w:tc>
      </w:tr>
      <w:tr w:rsidR="00363CC0">
        <w:trPr>
          <w:trHeight w:val="885"/>
          <w:jc w:val="center"/>
        </w:trPr>
        <w:tc>
          <w:tcPr>
            <w:tcW w:w="724" w:type="dxa"/>
            <w:tcBorders>
              <w:top w:val="single" w:sz="4" w:space="0" w:color="auto"/>
            </w:tcBorders>
            <w:vAlign w:val="center"/>
          </w:tcPr>
          <w:p w:rsidR="00363CC0" w:rsidRDefault="00363CC0">
            <w:pPr>
              <w:adjustRightInd w:val="0"/>
              <w:snapToGrid w:val="0"/>
              <w:jc w:val="center"/>
              <w:textAlignment w:val="center"/>
              <w:rPr>
                <w:kern w:val="0"/>
                <w:sz w:val="20"/>
                <w:szCs w:val="21"/>
              </w:rPr>
            </w:pPr>
          </w:p>
        </w:tc>
        <w:tc>
          <w:tcPr>
            <w:tcW w:w="1554" w:type="dxa"/>
            <w:tcBorders>
              <w:top w:val="single" w:sz="4" w:space="0" w:color="auto"/>
            </w:tcBorders>
            <w:vAlign w:val="center"/>
          </w:tcPr>
          <w:p w:rsidR="00363CC0" w:rsidRDefault="00363CC0">
            <w:pPr>
              <w:adjustRightInd w:val="0"/>
              <w:snapToGrid w:val="0"/>
              <w:jc w:val="center"/>
              <w:textAlignment w:val="center"/>
              <w:rPr>
                <w:kern w:val="0"/>
                <w:sz w:val="20"/>
                <w:szCs w:val="21"/>
              </w:rPr>
            </w:pPr>
          </w:p>
        </w:tc>
        <w:tc>
          <w:tcPr>
            <w:tcW w:w="1842" w:type="dxa"/>
            <w:tcBorders>
              <w:top w:val="single" w:sz="4" w:space="0" w:color="auto"/>
            </w:tcBorders>
            <w:vAlign w:val="center"/>
          </w:tcPr>
          <w:p w:rsidR="00363CC0" w:rsidRDefault="00363CC0">
            <w:pPr>
              <w:adjustRightInd w:val="0"/>
              <w:snapToGrid w:val="0"/>
              <w:jc w:val="center"/>
              <w:textAlignment w:val="center"/>
              <w:rPr>
                <w:kern w:val="0"/>
                <w:sz w:val="20"/>
                <w:szCs w:val="21"/>
              </w:rPr>
            </w:pPr>
          </w:p>
        </w:tc>
        <w:tc>
          <w:tcPr>
            <w:tcW w:w="1134" w:type="dxa"/>
            <w:tcBorders>
              <w:top w:val="single" w:sz="4" w:space="0" w:color="auto"/>
            </w:tcBorders>
            <w:vAlign w:val="center"/>
          </w:tcPr>
          <w:p w:rsidR="00363CC0" w:rsidRDefault="00363CC0">
            <w:pPr>
              <w:adjustRightInd w:val="0"/>
              <w:snapToGrid w:val="0"/>
              <w:jc w:val="center"/>
              <w:textAlignment w:val="center"/>
              <w:rPr>
                <w:kern w:val="0"/>
                <w:sz w:val="20"/>
                <w:szCs w:val="21"/>
              </w:rPr>
            </w:pPr>
          </w:p>
        </w:tc>
        <w:tc>
          <w:tcPr>
            <w:tcW w:w="1134" w:type="dxa"/>
            <w:tcBorders>
              <w:top w:val="single" w:sz="4" w:space="0" w:color="auto"/>
            </w:tcBorders>
            <w:vAlign w:val="center"/>
          </w:tcPr>
          <w:p w:rsidR="00363CC0" w:rsidRDefault="00363CC0">
            <w:pPr>
              <w:adjustRightInd w:val="0"/>
              <w:snapToGrid w:val="0"/>
              <w:jc w:val="center"/>
              <w:textAlignment w:val="center"/>
              <w:rPr>
                <w:kern w:val="0"/>
                <w:sz w:val="20"/>
                <w:szCs w:val="21"/>
              </w:rPr>
            </w:pPr>
          </w:p>
        </w:tc>
        <w:tc>
          <w:tcPr>
            <w:tcW w:w="2694" w:type="dxa"/>
            <w:tcBorders>
              <w:top w:val="single" w:sz="4" w:space="0" w:color="auto"/>
            </w:tcBorders>
            <w:vAlign w:val="center"/>
          </w:tcPr>
          <w:p w:rsidR="00363CC0" w:rsidRDefault="00363CC0">
            <w:pPr>
              <w:adjustRightInd w:val="0"/>
              <w:snapToGrid w:val="0"/>
              <w:jc w:val="center"/>
              <w:textAlignment w:val="center"/>
              <w:rPr>
                <w:kern w:val="0"/>
                <w:sz w:val="20"/>
                <w:szCs w:val="21"/>
              </w:rPr>
            </w:pPr>
          </w:p>
        </w:tc>
        <w:tc>
          <w:tcPr>
            <w:tcW w:w="992" w:type="dxa"/>
            <w:tcBorders>
              <w:top w:val="single" w:sz="4" w:space="0" w:color="auto"/>
            </w:tcBorders>
            <w:vAlign w:val="center"/>
          </w:tcPr>
          <w:p w:rsidR="00363CC0" w:rsidRDefault="00363CC0">
            <w:pPr>
              <w:adjustRightInd w:val="0"/>
              <w:snapToGrid w:val="0"/>
              <w:jc w:val="center"/>
              <w:textAlignment w:val="center"/>
              <w:rPr>
                <w:kern w:val="0"/>
                <w:sz w:val="20"/>
                <w:szCs w:val="21"/>
              </w:rPr>
            </w:pPr>
          </w:p>
        </w:tc>
        <w:tc>
          <w:tcPr>
            <w:tcW w:w="1131" w:type="dxa"/>
            <w:tcBorders>
              <w:top w:val="single" w:sz="4" w:space="0" w:color="auto"/>
            </w:tcBorders>
            <w:vAlign w:val="center"/>
          </w:tcPr>
          <w:p w:rsidR="00363CC0" w:rsidRDefault="00363CC0">
            <w:pPr>
              <w:adjustRightInd w:val="0"/>
              <w:snapToGrid w:val="0"/>
              <w:jc w:val="center"/>
              <w:textAlignment w:val="center"/>
              <w:rPr>
                <w:kern w:val="0"/>
                <w:sz w:val="20"/>
                <w:szCs w:val="21"/>
              </w:rPr>
            </w:pPr>
          </w:p>
        </w:tc>
        <w:tc>
          <w:tcPr>
            <w:tcW w:w="995" w:type="dxa"/>
            <w:tcBorders>
              <w:top w:val="single" w:sz="4" w:space="0" w:color="auto"/>
            </w:tcBorders>
            <w:vAlign w:val="center"/>
          </w:tcPr>
          <w:p w:rsidR="00363CC0" w:rsidRDefault="00363CC0">
            <w:pPr>
              <w:adjustRightInd w:val="0"/>
              <w:snapToGrid w:val="0"/>
              <w:jc w:val="center"/>
              <w:textAlignment w:val="center"/>
              <w:rPr>
                <w:kern w:val="0"/>
                <w:sz w:val="20"/>
                <w:szCs w:val="21"/>
              </w:rPr>
            </w:pPr>
          </w:p>
        </w:tc>
      </w:tr>
      <w:tr w:rsidR="00363CC0">
        <w:trPr>
          <w:trHeight w:val="1351"/>
          <w:jc w:val="center"/>
        </w:trPr>
        <w:tc>
          <w:tcPr>
            <w:tcW w:w="724" w:type="dxa"/>
            <w:tcBorders>
              <w:bottom w:val="single" w:sz="12" w:space="0" w:color="000000"/>
            </w:tcBorders>
            <w:vAlign w:val="center"/>
          </w:tcPr>
          <w:p w:rsidR="00363CC0" w:rsidRDefault="00363CC0">
            <w:pPr>
              <w:adjustRightInd w:val="0"/>
              <w:snapToGrid w:val="0"/>
              <w:jc w:val="center"/>
              <w:textAlignment w:val="center"/>
              <w:rPr>
                <w:sz w:val="20"/>
                <w:szCs w:val="21"/>
              </w:rPr>
            </w:pPr>
          </w:p>
        </w:tc>
        <w:tc>
          <w:tcPr>
            <w:tcW w:w="1554" w:type="dxa"/>
            <w:tcBorders>
              <w:bottom w:val="single" w:sz="12" w:space="0" w:color="000000"/>
            </w:tcBorders>
            <w:vAlign w:val="center"/>
          </w:tcPr>
          <w:p w:rsidR="00363CC0" w:rsidRDefault="00363CC0">
            <w:pPr>
              <w:adjustRightInd w:val="0"/>
              <w:snapToGrid w:val="0"/>
              <w:jc w:val="center"/>
              <w:textAlignment w:val="center"/>
              <w:rPr>
                <w:sz w:val="20"/>
                <w:szCs w:val="21"/>
              </w:rPr>
            </w:pPr>
          </w:p>
        </w:tc>
        <w:tc>
          <w:tcPr>
            <w:tcW w:w="1842" w:type="dxa"/>
            <w:tcBorders>
              <w:bottom w:val="single" w:sz="12" w:space="0" w:color="000000"/>
            </w:tcBorders>
            <w:vAlign w:val="center"/>
          </w:tcPr>
          <w:p w:rsidR="00363CC0" w:rsidRDefault="00363CC0">
            <w:pPr>
              <w:adjustRightInd w:val="0"/>
              <w:snapToGrid w:val="0"/>
              <w:jc w:val="left"/>
              <w:textAlignment w:val="center"/>
              <w:rPr>
                <w:kern w:val="0"/>
                <w:sz w:val="20"/>
                <w:szCs w:val="21"/>
              </w:rPr>
            </w:pPr>
          </w:p>
        </w:tc>
        <w:tc>
          <w:tcPr>
            <w:tcW w:w="1134" w:type="dxa"/>
            <w:tcBorders>
              <w:bottom w:val="single" w:sz="12" w:space="0" w:color="000000"/>
            </w:tcBorders>
            <w:vAlign w:val="center"/>
          </w:tcPr>
          <w:p w:rsidR="00363CC0" w:rsidRDefault="00363CC0">
            <w:pPr>
              <w:adjustRightInd w:val="0"/>
              <w:snapToGrid w:val="0"/>
              <w:jc w:val="center"/>
              <w:textAlignment w:val="center"/>
              <w:rPr>
                <w:sz w:val="20"/>
                <w:szCs w:val="21"/>
              </w:rPr>
            </w:pPr>
          </w:p>
        </w:tc>
        <w:tc>
          <w:tcPr>
            <w:tcW w:w="1134" w:type="dxa"/>
            <w:tcBorders>
              <w:bottom w:val="single" w:sz="12" w:space="0" w:color="000000"/>
            </w:tcBorders>
            <w:vAlign w:val="center"/>
          </w:tcPr>
          <w:p w:rsidR="00363CC0" w:rsidRDefault="00363CC0">
            <w:pPr>
              <w:adjustRightInd w:val="0"/>
              <w:snapToGrid w:val="0"/>
              <w:jc w:val="center"/>
              <w:textAlignment w:val="center"/>
              <w:rPr>
                <w:sz w:val="20"/>
                <w:szCs w:val="21"/>
              </w:rPr>
            </w:pPr>
          </w:p>
        </w:tc>
        <w:tc>
          <w:tcPr>
            <w:tcW w:w="2694" w:type="dxa"/>
            <w:tcBorders>
              <w:bottom w:val="single" w:sz="12" w:space="0" w:color="000000"/>
            </w:tcBorders>
            <w:vAlign w:val="center"/>
          </w:tcPr>
          <w:p w:rsidR="00363CC0" w:rsidRDefault="00363CC0">
            <w:pPr>
              <w:adjustRightInd w:val="0"/>
              <w:snapToGrid w:val="0"/>
              <w:jc w:val="left"/>
              <w:textAlignment w:val="center"/>
              <w:rPr>
                <w:kern w:val="0"/>
                <w:sz w:val="20"/>
                <w:szCs w:val="21"/>
              </w:rPr>
            </w:pPr>
          </w:p>
          <w:p w:rsidR="00363CC0" w:rsidRDefault="00363CC0">
            <w:pPr>
              <w:adjustRightInd w:val="0"/>
              <w:snapToGrid w:val="0"/>
              <w:jc w:val="left"/>
              <w:textAlignment w:val="center"/>
              <w:rPr>
                <w:kern w:val="0"/>
                <w:sz w:val="20"/>
                <w:szCs w:val="21"/>
              </w:rPr>
            </w:pPr>
          </w:p>
          <w:p w:rsidR="00363CC0" w:rsidRDefault="00363CC0">
            <w:pPr>
              <w:adjustRightInd w:val="0"/>
              <w:snapToGrid w:val="0"/>
              <w:jc w:val="left"/>
              <w:textAlignment w:val="center"/>
              <w:rPr>
                <w:kern w:val="0"/>
                <w:sz w:val="20"/>
                <w:szCs w:val="21"/>
              </w:rPr>
            </w:pPr>
          </w:p>
          <w:p w:rsidR="00363CC0" w:rsidRDefault="00363CC0">
            <w:pPr>
              <w:adjustRightInd w:val="0"/>
              <w:snapToGrid w:val="0"/>
              <w:jc w:val="left"/>
              <w:textAlignment w:val="center"/>
              <w:rPr>
                <w:kern w:val="0"/>
                <w:sz w:val="20"/>
                <w:szCs w:val="21"/>
              </w:rPr>
            </w:pPr>
          </w:p>
        </w:tc>
        <w:tc>
          <w:tcPr>
            <w:tcW w:w="992" w:type="dxa"/>
            <w:tcBorders>
              <w:bottom w:val="single" w:sz="12" w:space="0" w:color="000000"/>
            </w:tcBorders>
            <w:vAlign w:val="center"/>
          </w:tcPr>
          <w:p w:rsidR="00363CC0" w:rsidRDefault="00363CC0">
            <w:pPr>
              <w:adjustRightInd w:val="0"/>
              <w:snapToGrid w:val="0"/>
              <w:jc w:val="center"/>
              <w:textAlignment w:val="center"/>
              <w:rPr>
                <w:sz w:val="20"/>
                <w:szCs w:val="21"/>
              </w:rPr>
            </w:pPr>
          </w:p>
        </w:tc>
        <w:tc>
          <w:tcPr>
            <w:tcW w:w="1131" w:type="dxa"/>
            <w:tcBorders>
              <w:bottom w:val="single" w:sz="12" w:space="0" w:color="000000"/>
            </w:tcBorders>
            <w:vAlign w:val="center"/>
          </w:tcPr>
          <w:p w:rsidR="00363CC0" w:rsidRDefault="00363CC0">
            <w:pPr>
              <w:adjustRightInd w:val="0"/>
              <w:snapToGrid w:val="0"/>
              <w:jc w:val="center"/>
              <w:textAlignment w:val="center"/>
              <w:rPr>
                <w:sz w:val="20"/>
                <w:szCs w:val="21"/>
              </w:rPr>
            </w:pPr>
          </w:p>
        </w:tc>
        <w:tc>
          <w:tcPr>
            <w:tcW w:w="995" w:type="dxa"/>
            <w:tcBorders>
              <w:bottom w:val="single" w:sz="12" w:space="0" w:color="000000"/>
            </w:tcBorders>
            <w:vAlign w:val="center"/>
          </w:tcPr>
          <w:p w:rsidR="00363CC0" w:rsidRDefault="00363CC0">
            <w:pPr>
              <w:adjustRightInd w:val="0"/>
              <w:snapToGrid w:val="0"/>
              <w:jc w:val="center"/>
              <w:textAlignment w:val="center"/>
              <w:rPr>
                <w:sz w:val="20"/>
                <w:szCs w:val="21"/>
              </w:rPr>
            </w:pPr>
          </w:p>
        </w:tc>
      </w:tr>
    </w:tbl>
    <w:p w:rsidR="00363CC0" w:rsidRDefault="00363CC0">
      <w:pPr>
        <w:adjustRightInd w:val="0"/>
        <w:snapToGrid w:val="0"/>
        <w:jc w:val="left"/>
        <w:textAlignment w:val="baseline"/>
        <w:rPr>
          <w:rFonts w:eastAsia="黑体"/>
          <w:sz w:val="32"/>
          <w:szCs w:val="32"/>
        </w:rPr>
      </w:pPr>
    </w:p>
    <w:p w:rsidR="00363CC0" w:rsidRDefault="00F24112">
      <w:pPr>
        <w:adjustRightInd w:val="0"/>
        <w:snapToGrid w:val="0"/>
        <w:jc w:val="left"/>
        <w:textAlignment w:val="baseline"/>
        <w:rPr>
          <w:rFonts w:eastAsia="黑体"/>
          <w:sz w:val="32"/>
          <w:szCs w:val="32"/>
        </w:rPr>
      </w:pPr>
      <w:r>
        <w:rPr>
          <w:rFonts w:eastAsia="黑体"/>
          <w:sz w:val="32"/>
          <w:szCs w:val="32"/>
        </w:rPr>
        <w:br/>
      </w:r>
    </w:p>
    <w:p w:rsidR="00363CC0" w:rsidRDefault="00363CC0">
      <w:pPr>
        <w:adjustRightInd w:val="0"/>
        <w:snapToGrid w:val="0"/>
        <w:jc w:val="left"/>
        <w:textAlignment w:val="baseline"/>
        <w:rPr>
          <w:rFonts w:eastAsia="黑体"/>
          <w:sz w:val="32"/>
          <w:szCs w:val="32"/>
        </w:rPr>
      </w:pPr>
    </w:p>
    <w:p w:rsidR="00363CC0" w:rsidRDefault="00363CC0">
      <w:pPr>
        <w:adjustRightInd w:val="0"/>
        <w:snapToGrid w:val="0"/>
        <w:jc w:val="left"/>
        <w:textAlignment w:val="baseline"/>
        <w:rPr>
          <w:rFonts w:eastAsia="黑体"/>
          <w:bCs/>
          <w:kern w:val="0"/>
          <w:sz w:val="32"/>
          <w:szCs w:val="32"/>
        </w:rPr>
      </w:pPr>
    </w:p>
    <w:p w:rsidR="00363CC0" w:rsidRDefault="00363CC0">
      <w:pPr>
        <w:adjustRightInd w:val="0"/>
        <w:snapToGrid w:val="0"/>
        <w:jc w:val="left"/>
        <w:textAlignment w:val="baseline"/>
        <w:rPr>
          <w:rFonts w:eastAsia="黑体"/>
          <w:bCs/>
          <w:kern w:val="0"/>
          <w:sz w:val="32"/>
          <w:szCs w:val="32"/>
        </w:rPr>
        <w:sectPr w:rsidR="00363CC0">
          <w:pgSz w:w="16838" w:h="11906" w:orient="landscape"/>
          <w:pgMar w:top="2098" w:right="1474" w:bottom="1984" w:left="1587" w:header="851" w:footer="992" w:gutter="0"/>
          <w:pgNumType w:fmt="numberInDash"/>
          <w:cols w:space="720"/>
          <w:docGrid w:linePitch="312"/>
        </w:sectPr>
      </w:pPr>
    </w:p>
    <w:p w:rsidR="00363CC0" w:rsidRDefault="00F24112">
      <w:pPr>
        <w:adjustRightInd w:val="0"/>
        <w:snapToGrid w:val="0"/>
        <w:jc w:val="left"/>
        <w:textAlignment w:val="baseline"/>
        <w:rPr>
          <w:rFonts w:eastAsia="黑体"/>
          <w:bCs/>
          <w:kern w:val="0"/>
          <w:sz w:val="32"/>
          <w:szCs w:val="32"/>
        </w:rPr>
      </w:pPr>
      <w:r>
        <w:rPr>
          <w:rFonts w:eastAsia="黑体"/>
          <w:bCs/>
          <w:kern w:val="0"/>
          <w:sz w:val="32"/>
          <w:szCs w:val="32"/>
        </w:rPr>
        <w:lastRenderedPageBreak/>
        <w:t>附件</w:t>
      </w:r>
      <w:r>
        <w:rPr>
          <w:rFonts w:eastAsia="黑体"/>
          <w:bCs/>
          <w:kern w:val="0"/>
          <w:sz w:val="32"/>
          <w:szCs w:val="32"/>
        </w:rPr>
        <w:t>2</w:t>
      </w:r>
    </w:p>
    <w:p w:rsidR="00363CC0" w:rsidRDefault="00363CC0"/>
    <w:p w:rsidR="00363CC0" w:rsidRDefault="00F24112">
      <w:pPr>
        <w:adjustRightInd w:val="0"/>
        <w:snapToGrid w:val="0"/>
        <w:jc w:val="center"/>
        <w:textAlignment w:val="baseline"/>
        <w:rPr>
          <w:rFonts w:eastAsia="方正小标宋简体"/>
          <w:bCs/>
          <w:kern w:val="0"/>
          <w:sz w:val="44"/>
          <w:szCs w:val="44"/>
        </w:rPr>
      </w:pPr>
      <w:r>
        <w:rPr>
          <w:rFonts w:eastAsia="方正小标宋简体"/>
          <w:bCs/>
          <w:kern w:val="0"/>
          <w:sz w:val="44"/>
          <w:szCs w:val="44"/>
        </w:rPr>
        <w:t>企业安全风险辨识基本情况</w:t>
      </w:r>
    </w:p>
    <w:p w:rsidR="00363CC0" w:rsidRDefault="00363CC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424"/>
        <w:gridCol w:w="567"/>
        <w:gridCol w:w="285"/>
        <w:gridCol w:w="283"/>
        <w:gridCol w:w="1134"/>
        <w:gridCol w:w="236"/>
        <w:gridCol w:w="614"/>
        <w:gridCol w:w="500"/>
        <w:gridCol w:w="210"/>
        <w:gridCol w:w="1562"/>
        <w:gridCol w:w="1861"/>
      </w:tblGrid>
      <w:tr w:rsidR="00363CC0">
        <w:trPr>
          <w:trHeight w:val="454"/>
          <w:jc w:val="center"/>
        </w:trPr>
        <w:tc>
          <w:tcPr>
            <w:tcW w:w="764"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单位名称</w:t>
            </w:r>
          </w:p>
        </w:tc>
        <w:tc>
          <w:tcPr>
            <w:tcW w:w="4236" w:type="pct"/>
            <w:gridSpan w:val="11"/>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 xml:space="preserve">　</w:t>
            </w:r>
          </w:p>
        </w:tc>
      </w:tr>
      <w:tr w:rsidR="00363CC0">
        <w:trPr>
          <w:trHeight w:val="454"/>
          <w:jc w:val="center"/>
        </w:trPr>
        <w:tc>
          <w:tcPr>
            <w:tcW w:w="764"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注册地址</w:t>
            </w:r>
          </w:p>
        </w:tc>
        <w:tc>
          <w:tcPr>
            <w:tcW w:w="4236" w:type="pct"/>
            <w:gridSpan w:val="11"/>
            <w:vAlign w:val="center"/>
          </w:tcPr>
          <w:p w:rsidR="00363CC0" w:rsidRDefault="00F24112">
            <w:pPr>
              <w:adjustRightInd w:val="0"/>
              <w:snapToGrid w:val="0"/>
              <w:textAlignment w:val="baseline"/>
              <w:rPr>
                <w:rFonts w:eastAsia="仿宋_GB2312"/>
                <w:color w:val="000000"/>
                <w:kern w:val="0"/>
                <w:sz w:val="24"/>
              </w:rPr>
            </w:pPr>
            <w:r>
              <w:rPr>
                <w:rFonts w:eastAsia="仿宋_GB2312"/>
                <w:color w:val="000000"/>
                <w:kern w:val="0"/>
                <w:sz w:val="24"/>
              </w:rPr>
              <w:t xml:space="preserve">　</w:t>
            </w:r>
          </w:p>
        </w:tc>
      </w:tr>
      <w:tr w:rsidR="00363CC0">
        <w:trPr>
          <w:trHeight w:val="454"/>
          <w:jc w:val="center"/>
        </w:trPr>
        <w:tc>
          <w:tcPr>
            <w:tcW w:w="764"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性</w:t>
            </w:r>
            <w:r>
              <w:rPr>
                <w:rFonts w:eastAsia="仿宋_GB2312"/>
                <w:color w:val="000000"/>
                <w:kern w:val="0"/>
                <w:sz w:val="24"/>
              </w:rPr>
              <w:t xml:space="preserve">    </w:t>
            </w:r>
            <w:r>
              <w:rPr>
                <w:rFonts w:eastAsia="仿宋_GB2312"/>
                <w:color w:val="000000"/>
                <w:kern w:val="0"/>
                <w:sz w:val="24"/>
              </w:rPr>
              <w:t>质</w:t>
            </w:r>
          </w:p>
        </w:tc>
        <w:tc>
          <w:tcPr>
            <w:tcW w:w="4236" w:type="pct"/>
            <w:gridSpan w:val="11"/>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w:t>
            </w:r>
            <w:r>
              <w:rPr>
                <w:rFonts w:eastAsia="仿宋_GB2312"/>
                <w:color w:val="000000"/>
                <w:kern w:val="0"/>
                <w:sz w:val="24"/>
              </w:rPr>
              <w:t>国有</w:t>
            </w:r>
            <w:r>
              <w:rPr>
                <w:rFonts w:eastAsia="仿宋_GB2312"/>
                <w:color w:val="000000"/>
                <w:kern w:val="0"/>
                <w:sz w:val="24"/>
              </w:rPr>
              <w:t xml:space="preserve">  □</w:t>
            </w:r>
            <w:r>
              <w:rPr>
                <w:rFonts w:eastAsia="仿宋_GB2312"/>
                <w:color w:val="000000"/>
                <w:kern w:val="0"/>
                <w:sz w:val="24"/>
              </w:rPr>
              <w:t>集体</w:t>
            </w:r>
            <w:r>
              <w:rPr>
                <w:rFonts w:eastAsia="仿宋_GB2312"/>
                <w:color w:val="000000"/>
                <w:kern w:val="0"/>
                <w:sz w:val="24"/>
              </w:rPr>
              <w:t xml:space="preserve"> □</w:t>
            </w:r>
            <w:r>
              <w:rPr>
                <w:rFonts w:eastAsia="仿宋_GB2312"/>
                <w:color w:val="000000"/>
                <w:kern w:val="0"/>
                <w:sz w:val="24"/>
              </w:rPr>
              <w:t>民营</w:t>
            </w:r>
            <w:r>
              <w:rPr>
                <w:rFonts w:eastAsia="仿宋_GB2312"/>
                <w:color w:val="000000"/>
                <w:kern w:val="0"/>
                <w:sz w:val="24"/>
              </w:rPr>
              <w:t xml:space="preserve"> □</w:t>
            </w:r>
            <w:r>
              <w:rPr>
                <w:rFonts w:eastAsia="仿宋_GB2312"/>
                <w:color w:val="000000"/>
                <w:kern w:val="0"/>
                <w:sz w:val="24"/>
              </w:rPr>
              <w:t>私营</w:t>
            </w:r>
            <w:r>
              <w:rPr>
                <w:rFonts w:eastAsia="仿宋_GB2312"/>
                <w:color w:val="000000"/>
                <w:kern w:val="0"/>
                <w:sz w:val="24"/>
              </w:rPr>
              <w:t xml:space="preserve"> □</w:t>
            </w:r>
            <w:r>
              <w:rPr>
                <w:rFonts w:eastAsia="仿宋_GB2312"/>
                <w:color w:val="000000"/>
                <w:kern w:val="0"/>
                <w:sz w:val="24"/>
              </w:rPr>
              <w:t>合资</w:t>
            </w:r>
            <w:r>
              <w:rPr>
                <w:rFonts w:eastAsia="仿宋_GB2312"/>
                <w:color w:val="000000"/>
                <w:kern w:val="0"/>
                <w:sz w:val="24"/>
              </w:rPr>
              <w:t xml:space="preserve"> □</w:t>
            </w:r>
            <w:r>
              <w:rPr>
                <w:rFonts w:eastAsia="仿宋_GB2312"/>
                <w:color w:val="000000"/>
                <w:kern w:val="0"/>
                <w:sz w:val="24"/>
              </w:rPr>
              <w:t>独资</w:t>
            </w:r>
            <w:r>
              <w:rPr>
                <w:rFonts w:eastAsia="仿宋_GB2312"/>
                <w:color w:val="000000"/>
                <w:kern w:val="0"/>
                <w:sz w:val="24"/>
              </w:rPr>
              <w:t xml:space="preserve">  □</w:t>
            </w:r>
            <w:r>
              <w:rPr>
                <w:rFonts w:eastAsia="仿宋_GB2312"/>
                <w:color w:val="000000"/>
                <w:kern w:val="0"/>
                <w:sz w:val="24"/>
              </w:rPr>
              <w:t>其它</w:t>
            </w:r>
          </w:p>
        </w:tc>
      </w:tr>
      <w:tr w:rsidR="00363CC0">
        <w:trPr>
          <w:trHeight w:val="454"/>
          <w:jc w:val="center"/>
        </w:trPr>
        <w:tc>
          <w:tcPr>
            <w:tcW w:w="764"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注册资本</w:t>
            </w:r>
          </w:p>
        </w:tc>
        <w:tc>
          <w:tcPr>
            <w:tcW w:w="704" w:type="pct"/>
            <w:gridSpan w:val="3"/>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782" w:type="pct"/>
            <w:gridSpan w:val="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法人代表</w:t>
            </w:r>
          </w:p>
        </w:tc>
        <w:tc>
          <w:tcPr>
            <w:tcW w:w="861" w:type="pct"/>
            <w:gridSpan w:val="4"/>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862"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员工总数</w:t>
            </w:r>
          </w:p>
        </w:tc>
        <w:tc>
          <w:tcPr>
            <w:tcW w:w="1027" w:type="pct"/>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r>
      <w:tr w:rsidR="00363CC0">
        <w:trPr>
          <w:trHeight w:val="454"/>
          <w:jc w:val="center"/>
        </w:trPr>
        <w:tc>
          <w:tcPr>
            <w:tcW w:w="764" w:type="pct"/>
            <w:vMerge w:val="restar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联</w:t>
            </w:r>
            <w:r>
              <w:rPr>
                <w:rFonts w:eastAsia="仿宋_GB2312"/>
                <w:color w:val="000000"/>
                <w:kern w:val="0"/>
                <w:sz w:val="24"/>
              </w:rPr>
              <w:t xml:space="preserve"> </w:t>
            </w:r>
            <w:r>
              <w:rPr>
                <w:rFonts w:eastAsia="仿宋_GB2312"/>
                <w:color w:val="000000"/>
                <w:kern w:val="0"/>
                <w:sz w:val="24"/>
              </w:rPr>
              <w:t>系</w:t>
            </w:r>
            <w:r>
              <w:rPr>
                <w:rFonts w:eastAsia="仿宋_GB2312"/>
                <w:color w:val="000000"/>
                <w:kern w:val="0"/>
                <w:sz w:val="24"/>
              </w:rPr>
              <w:t xml:space="preserve"> </w:t>
            </w:r>
            <w:r>
              <w:rPr>
                <w:rFonts w:eastAsia="仿宋_GB2312"/>
                <w:color w:val="000000"/>
                <w:kern w:val="0"/>
                <w:sz w:val="24"/>
              </w:rPr>
              <w:t>人</w:t>
            </w:r>
          </w:p>
        </w:tc>
        <w:tc>
          <w:tcPr>
            <w:tcW w:w="704" w:type="pct"/>
            <w:gridSpan w:val="3"/>
            <w:vMerge w:val="restar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782" w:type="pct"/>
            <w:gridSpan w:val="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电　话</w:t>
            </w:r>
          </w:p>
        </w:tc>
        <w:tc>
          <w:tcPr>
            <w:tcW w:w="861" w:type="pct"/>
            <w:gridSpan w:val="4"/>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862"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传　　真</w:t>
            </w:r>
          </w:p>
        </w:tc>
        <w:tc>
          <w:tcPr>
            <w:tcW w:w="1027"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r>
      <w:tr w:rsidR="00363CC0">
        <w:trPr>
          <w:trHeight w:val="454"/>
          <w:jc w:val="center"/>
        </w:trPr>
        <w:tc>
          <w:tcPr>
            <w:tcW w:w="764" w:type="pct"/>
            <w:vMerge/>
            <w:vAlign w:val="center"/>
          </w:tcPr>
          <w:p w:rsidR="00363CC0" w:rsidRDefault="00363CC0">
            <w:pPr>
              <w:adjustRightInd w:val="0"/>
              <w:snapToGrid w:val="0"/>
              <w:jc w:val="left"/>
              <w:textAlignment w:val="baseline"/>
              <w:rPr>
                <w:rFonts w:eastAsia="仿宋_GB2312"/>
                <w:color w:val="000000"/>
                <w:kern w:val="0"/>
                <w:sz w:val="24"/>
              </w:rPr>
            </w:pPr>
          </w:p>
        </w:tc>
        <w:tc>
          <w:tcPr>
            <w:tcW w:w="704" w:type="pct"/>
            <w:gridSpan w:val="3"/>
            <w:vMerge/>
            <w:vAlign w:val="center"/>
          </w:tcPr>
          <w:p w:rsidR="00363CC0" w:rsidRDefault="00363CC0">
            <w:pPr>
              <w:adjustRightInd w:val="0"/>
              <w:snapToGrid w:val="0"/>
              <w:jc w:val="left"/>
              <w:textAlignment w:val="baseline"/>
              <w:rPr>
                <w:rFonts w:eastAsia="仿宋_GB2312"/>
                <w:color w:val="000000"/>
                <w:kern w:val="0"/>
                <w:sz w:val="24"/>
              </w:rPr>
            </w:pPr>
          </w:p>
        </w:tc>
        <w:tc>
          <w:tcPr>
            <w:tcW w:w="782" w:type="pct"/>
            <w:gridSpan w:val="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手　机</w:t>
            </w:r>
          </w:p>
        </w:tc>
        <w:tc>
          <w:tcPr>
            <w:tcW w:w="861" w:type="pct"/>
            <w:gridSpan w:val="4"/>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862"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电子信箱</w:t>
            </w:r>
          </w:p>
        </w:tc>
        <w:tc>
          <w:tcPr>
            <w:tcW w:w="1027"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r>
      <w:tr w:rsidR="00363CC0">
        <w:trPr>
          <w:trHeight w:val="454"/>
          <w:jc w:val="center"/>
        </w:trPr>
        <w:tc>
          <w:tcPr>
            <w:tcW w:w="5000" w:type="pct"/>
            <w:gridSpan w:val="1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1.</w:t>
            </w:r>
            <w:r>
              <w:rPr>
                <w:rFonts w:eastAsia="仿宋_GB2312"/>
                <w:color w:val="000000"/>
                <w:kern w:val="0"/>
                <w:sz w:val="24"/>
              </w:rPr>
              <w:t>企业安全管理相关负责人</w:t>
            </w:r>
            <w:r>
              <w:rPr>
                <w:rFonts w:eastAsia="仿宋_GB2312"/>
                <w:color w:val="000000"/>
                <w:kern w:val="0"/>
                <w:sz w:val="24"/>
              </w:rPr>
              <w:t>(</w:t>
            </w:r>
            <w:r>
              <w:rPr>
                <w:rFonts w:eastAsia="仿宋_GB2312"/>
                <w:color w:val="000000"/>
                <w:kern w:val="0"/>
                <w:sz w:val="24"/>
              </w:rPr>
              <w:t>主要负责人、安全主管领导、专职安全管理人员等</w:t>
            </w:r>
            <w:r>
              <w:rPr>
                <w:rFonts w:eastAsia="仿宋_GB2312"/>
                <w:color w:val="000000"/>
                <w:kern w:val="0"/>
                <w:sz w:val="24"/>
              </w:rPr>
              <w:t>)</w:t>
            </w:r>
          </w:p>
        </w:tc>
      </w:tr>
      <w:tr w:rsidR="00363CC0">
        <w:trPr>
          <w:trHeight w:val="454"/>
          <w:jc w:val="center"/>
        </w:trPr>
        <w:tc>
          <w:tcPr>
            <w:tcW w:w="764" w:type="pct"/>
            <w:noWrap/>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姓名</w:t>
            </w:r>
          </w:p>
        </w:tc>
        <w:tc>
          <w:tcPr>
            <w:tcW w:w="860" w:type="pct"/>
            <w:gridSpan w:val="4"/>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所在部门及职务</w:t>
            </w:r>
          </w:p>
        </w:tc>
        <w:tc>
          <w:tcPr>
            <w:tcW w:w="756"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学历</w:t>
            </w:r>
          </w:p>
        </w:tc>
        <w:tc>
          <w:tcPr>
            <w:tcW w:w="615"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专业</w:t>
            </w:r>
          </w:p>
        </w:tc>
        <w:tc>
          <w:tcPr>
            <w:tcW w:w="978"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是否为注册安全工程师</w:t>
            </w:r>
          </w:p>
        </w:tc>
        <w:tc>
          <w:tcPr>
            <w:tcW w:w="1027" w:type="pct"/>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是否有</w:t>
            </w:r>
            <w:proofErr w:type="gramStart"/>
            <w:r>
              <w:rPr>
                <w:rFonts w:eastAsia="仿宋_GB2312"/>
                <w:color w:val="000000"/>
                <w:kern w:val="0"/>
                <w:sz w:val="24"/>
              </w:rPr>
              <w:t>持安全</w:t>
            </w:r>
            <w:proofErr w:type="gramEnd"/>
            <w:r>
              <w:rPr>
                <w:rFonts w:eastAsia="仿宋_GB2312"/>
                <w:color w:val="000000"/>
                <w:kern w:val="0"/>
                <w:sz w:val="24"/>
              </w:rPr>
              <w:t>资格证</w:t>
            </w:r>
          </w:p>
        </w:tc>
      </w:tr>
      <w:tr w:rsidR="00363CC0">
        <w:trPr>
          <w:trHeight w:val="454"/>
          <w:jc w:val="center"/>
        </w:trPr>
        <w:tc>
          <w:tcPr>
            <w:tcW w:w="764" w:type="pct"/>
            <w:noWrap/>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 xml:space="preserve">　</w:t>
            </w:r>
          </w:p>
        </w:tc>
        <w:tc>
          <w:tcPr>
            <w:tcW w:w="860" w:type="pct"/>
            <w:gridSpan w:val="4"/>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756"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615"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978" w:type="pct"/>
            <w:gridSpan w:val="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w:t>
            </w:r>
            <w:r>
              <w:rPr>
                <w:rFonts w:eastAsia="仿宋_GB2312"/>
                <w:color w:val="000000"/>
                <w:kern w:val="0"/>
                <w:sz w:val="24"/>
              </w:rPr>
              <w:t xml:space="preserve">是　</w:t>
            </w:r>
            <w:r>
              <w:rPr>
                <w:rFonts w:eastAsia="仿宋_GB2312"/>
                <w:color w:val="000000"/>
                <w:kern w:val="0"/>
                <w:sz w:val="24"/>
              </w:rPr>
              <w:t>□</w:t>
            </w:r>
            <w:r>
              <w:rPr>
                <w:rFonts w:eastAsia="仿宋_GB2312"/>
                <w:color w:val="000000"/>
                <w:kern w:val="0"/>
                <w:sz w:val="24"/>
              </w:rPr>
              <w:t>否</w:t>
            </w:r>
          </w:p>
        </w:tc>
        <w:tc>
          <w:tcPr>
            <w:tcW w:w="1027"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w:t>
            </w:r>
            <w:r>
              <w:rPr>
                <w:rFonts w:eastAsia="仿宋_GB2312"/>
                <w:color w:val="000000"/>
                <w:kern w:val="0"/>
                <w:sz w:val="24"/>
              </w:rPr>
              <w:t xml:space="preserve">是　</w:t>
            </w:r>
            <w:r>
              <w:rPr>
                <w:rFonts w:eastAsia="仿宋_GB2312"/>
                <w:color w:val="000000"/>
                <w:kern w:val="0"/>
                <w:sz w:val="24"/>
              </w:rPr>
              <w:t>□</w:t>
            </w:r>
            <w:r>
              <w:rPr>
                <w:rFonts w:eastAsia="仿宋_GB2312"/>
                <w:color w:val="000000"/>
                <w:kern w:val="0"/>
                <w:sz w:val="24"/>
              </w:rPr>
              <w:t>否</w:t>
            </w:r>
          </w:p>
        </w:tc>
      </w:tr>
      <w:tr w:rsidR="00363CC0">
        <w:trPr>
          <w:trHeight w:val="454"/>
          <w:jc w:val="center"/>
        </w:trPr>
        <w:tc>
          <w:tcPr>
            <w:tcW w:w="764" w:type="pct"/>
            <w:noWrap/>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 xml:space="preserve">　</w:t>
            </w:r>
          </w:p>
        </w:tc>
        <w:tc>
          <w:tcPr>
            <w:tcW w:w="860" w:type="pct"/>
            <w:gridSpan w:val="4"/>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756"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615"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978" w:type="pct"/>
            <w:gridSpan w:val="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w:t>
            </w:r>
            <w:r>
              <w:rPr>
                <w:rFonts w:eastAsia="仿宋_GB2312"/>
                <w:color w:val="000000"/>
                <w:kern w:val="0"/>
                <w:sz w:val="24"/>
              </w:rPr>
              <w:t xml:space="preserve">是　</w:t>
            </w:r>
            <w:r>
              <w:rPr>
                <w:rFonts w:eastAsia="仿宋_GB2312"/>
                <w:color w:val="000000"/>
                <w:kern w:val="0"/>
                <w:sz w:val="24"/>
              </w:rPr>
              <w:t>□</w:t>
            </w:r>
            <w:r>
              <w:rPr>
                <w:rFonts w:eastAsia="仿宋_GB2312"/>
                <w:color w:val="000000"/>
                <w:kern w:val="0"/>
                <w:sz w:val="24"/>
              </w:rPr>
              <w:t>否</w:t>
            </w:r>
          </w:p>
        </w:tc>
        <w:tc>
          <w:tcPr>
            <w:tcW w:w="1027"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w:t>
            </w:r>
            <w:r>
              <w:rPr>
                <w:rFonts w:eastAsia="仿宋_GB2312"/>
                <w:color w:val="000000"/>
                <w:kern w:val="0"/>
                <w:sz w:val="24"/>
              </w:rPr>
              <w:t xml:space="preserve">是　</w:t>
            </w:r>
            <w:r>
              <w:rPr>
                <w:rFonts w:eastAsia="仿宋_GB2312"/>
                <w:color w:val="000000"/>
                <w:kern w:val="0"/>
                <w:sz w:val="24"/>
              </w:rPr>
              <w:t>□</w:t>
            </w:r>
            <w:r>
              <w:rPr>
                <w:rFonts w:eastAsia="仿宋_GB2312"/>
                <w:color w:val="000000"/>
                <w:kern w:val="0"/>
                <w:sz w:val="24"/>
              </w:rPr>
              <w:t>否</w:t>
            </w:r>
          </w:p>
        </w:tc>
      </w:tr>
      <w:tr w:rsidR="00363CC0">
        <w:trPr>
          <w:trHeight w:val="454"/>
          <w:jc w:val="center"/>
        </w:trPr>
        <w:tc>
          <w:tcPr>
            <w:tcW w:w="764" w:type="pct"/>
            <w:noWrap/>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 xml:space="preserve">　</w:t>
            </w:r>
          </w:p>
        </w:tc>
        <w:tc>
          <w:tcPr>
            <w:tcW w:w="860" w:type="pct"/>
            <w:gridSpan w:val="4"/>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756"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615"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978" w:type="pct"/>
            <w:gridSpan w:val="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w:t>
            </w:r>
            <w:r>
              <w:rPr>
                <w:rFonts w:eastAsia="仿宋_GB2312"/>
                <w:color w:val="000000"/>
                <w:kern w:val="0"/>
                <w:sz w:val="24"/>
              </w:rPr>
              <w:t xml:space="preserve">是　</w:t>
            </w:r>
            <w:r>
              <w:rPr>
                <w:rFonts w:eastAsia="仿宋_GB2312"/>
                <w:color w:val="000000"/>
                <w:kern w:val="0"/>
                <w:sz w:val="24"/>
              </w:rPr>
              <w:t>□</w:t>
            </w:r>
            <w:r>
              <w:rPr>
                <w:rFonts w:eastAsia="仿宋_GB2312"/>
                <w:color w:val="000000"/>
                <w:kern w:val="0"/>
                <w:sz w:val="24"/>
              </w:rPr>
              <w:t>否</w:t>
            </w:r>
          </w:p>
        </w:tc>
        <w:tc>
          <w:tcPr>
            <w:tcW w:w="1027"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w:t>
            </w:r>
            <w:r>
              <w:rPr>
                <w:rFonts w:eastAsia="仿宋_GB2312"/>
                <w:color w:val="000000"/>
                <w:kern w:val="0"/>
                <w:sz w:val="24"/>
              </w:rPr>
              <w:t xml:space="preserve">是　</w:t>
            </w:r>
            <w:r>
              <w:rPr>
                <w:rFonts w:eastAsia="仿宋_GB2312"/>
                <w:color w:val="000000"/>
                <w:kern w:val="0"/>
                <w:sz w:val="24"/>
              </w:rPr>
              <w:t>□</w:t>
            </w:r>
            <w:r>
              <w:rPr>
                <w:rFonts w:eastAsia="仿宋_GB2312"/>
                <w:color w:val="000000"/>
                <w:kern w:val="0"/>
                <w:sz w:val="24"/>
              </w:rPr>
              <w:t>否</w:t>
            </w:r>
          </w:p>
        </w:tc>
      </w:tr>
      <w:tr w:rsidR="00363CC0">
        <w:trPr>
          <w:trHeight w:val="454"/>
          <w:jc w:val="center"/>
        </w:trPr>
        <w:tc>
          <w:tcPr>
            <w:tcW w:w="764" w:type="pct"/>
            <w:noWrap/>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 xml:space="preserve">　</w:t>
            </w:r>
          </w:p>
        </w:tc>
        <w:tc>
          <w:tcPr>
            <w:tcW w:w="860" w:type="pct"/>
            <w:gridSpan w:val="4"/>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756"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615"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978" w:type="pct"/>
            <w:gridSpan w:val="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w:t>
            </w:r>
            <w:r>
              <w:rPr>
                <w:rFonts w:eastAsia="仿宋_GB2312"/>
                <w:color w:val="000000"/>
                <w:kern w:val="0"/>
                <w:sz w:val="24"/>
              </w:rPr>
              <w:t xml:space="preserve">是　</w:t>
            </w:r>
            <w:r>
              <w:rPr>
                <w:rFonts w:eastAsia="仿宋_GB2312"/>
                <w:color w:val="000000"/>
                <w:kern w:val="0"/>
                <w:sz w:val="24"/>
              </w:rPr>
              <w:t>□</w:t>
            </w:r>
            <w:r>
              <w:rPr>
                <w:rFonts w:eastAsia="仿宋_GB2312"/>
                <w:color w:val="000000"/>
                <w:kern w:val="0"/>
                <w:sz w:val="24"/>
              </w:rPr>
              <w:t>否</w:t>
            </w:r>
          </w:p>
        </w:tc>
        <w:tc>
          <w:tcPr>
            <w:tcW w:w="1027"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w:t>
            </w:r>
            <w:r>
              <w:rPr>
                <w:rFonts w:eastAsia="仿宋_GB2312"/>
                <w:color w:val="000000"/>
                <w:kern w:val="0"/>
                <w:sz w:val="24"/>
              </w:rPr>
              <w:t xml:space="preserve">是　</w:t>
            </w:r>
            <w:r>
              <w:rPr>
                <w:rFonts w:eastAsia="仿宋_GB2312"/>
                <w:color w:val="000000"/>
                <w:kern w:val="0"/>
                <w:sz w:val="24"/>
              </w:rPr>
              <w:t>□</w:t>
            </w:r>
            <w:r>
              <w:rPr>
                <w:rFonts w:eastAsia="仿宋_GB2312"/>
                <w:color w:val="000000"/>
                <w:kern w:val="0"/>
                <w:sz w:val="24"/>
              </w:rPr>
              <w:t>否</w:t>
            </w:r>
          </w:p>
        </w:tc>
      </w:tr>
      <w:tr w:rsidR="00363CC0">
        <w:trPr>
          <w:trHeight w:val="454"/>
          <w:jc w:val="center"/>
        </w:trPr>
        <w:tc>
          <w:tcPr>
            <w:tcW w:w="5000" w:type="pct"/>
            <w:gridSpan w:val="12"/>
            <w:vAlign w:val="center"/>
          </w:tcPr>
          <w:p w:rsidR="00363CC0" w:rsidRDefault="00F24112">
            <w:pPr>
              <w:adjustRightInd w:val="0"/>
              <w:snapToGrid w:val="0"/>
              <w:jc w:val="center"/>
              <w:textAlignment w:val="baseline"/>
              <w:rPr>
                <w:rFonts w:eastAsia="仿宋_GB2312"/>
                <w:kern w:val="0"/>
                <w:sz w:val="24"/>
              </w:rPr>
            </w:pPr>
            <w:r>
              <w:rPr>
                <w:rFonts w:eastAsia="仿宋_GB2312"/>
                <w:kern w:val="0"/>
                <w:sz w:val="24"/>
              </w:rPr>
              <w:t>2.</w:t>
            </w:r>
            <w:r>
              <w:rPr>
                <w:rFonts w:eastAsia="仿宋_GB2312"/>
                <w:kern w:val="0"/>
                <w:sz w:val="24"/>
              </w:rPr>
              <w:t>特种作业人员情况</w:t>
            </w:r>
          </w:p>
        </w:tc>
      </w:tr>
      <w:tr w:rsidR="00363CC0">
        <w:trPr>
          <w:trHeight w:val="454"/>
          <w:jc w:val="center"/>
        </w:trPr>
        <w:tc>
          <w:tcPr>
            <w:tcW w:w="764" w:type="pct"/>
            <w:noWrap/>
            <w:vAlign w:val="center"/>
          </w:tcPr>
          <w:p w:rsidR="00363CC0" w:rsidRDefault="00F24112">
            <w:pPr>
              <w:adjustRightInd w:val="0"/>
              <w:snapToGrid w:val="0"/>
              <w:jc w:val="left"/>
              <w:textAlignment w:val="baseline"/>
              <w:rPr>
                <w:rFonts w:eastAsia="仿宋_GB2312"/>
                <w:kern w:val="0"/>
                <w:sz w:val="24"/>
              </w:rPr>
            </w:pPr>
            <w:r>
              <w:rPr>
                <w:rFonts w:eastAsia="仿宋_GB2312"/>
                <w:kern w:val="0"/>
                <w:sz w:val="24"/>
              </w:rPr>
              <w:t>姓名</w:t>
            </w:r>
          </w:p>
        </w:tc>
        <w:tc>
          <w:tcPr>
            <w:tcW w:w="860" w:type="pct"/>
            <w:gridSpan w:val="4"/>
            <w:noWrap/>
            <w:vAlign w:val="center"/>
          </w:tcPr>
          <w:p w:rsidR="00363CC0" w:rsidRDefault="00F24112">
            <w:pPr>
              <w:adjustRightInd w:val="0"/>
              <w:snapToGrid w:val="0"/>
              <w:jc w:val="center"/>
              <w:textAlignment w:val="baseline"/>
              <w:rPr>
                <w:rFonts w:eastAsia="仿宋_GB2312"/>
                <w:kern w:val="0"/>
                <w:sz w:val="24"/>
              </w:rPr>
            </w:pPr>
            <w:r>
              <w:rPr>
                <w:rFonts w:eastAsia="仿宋_GB2312"/>
                <w:kern w:val="0"/>
                <w:sz w:val="24"/>
              </w:rPr>
              <w:t>所在部门及职务</w:t>
            </w:r>
          </w:p>
        </w:tc>
        <w:tc>
          <w:tcPr>
            <w:tcW w:w="756" w:type="pct"/>
            <w:gridSpan w:val="2"/>
            <w:noWrap/>
            <w:vAlign w:val="center"/>
          </w:tcPr>
          <w:p w:rsidR="00363CC0" w:rsidRDefault="00F24112">
            <w:pPr>
              <w:adjustRightInd w:val="0"/>
              <w:snapToGrid w:val="0"/>
              <w:jc w:val="center"/>
              <w:textAlignment w:val="baseline"/>
              <w:rPr>
                <w:rFonts w:eastAsia="仿宋_GB2312"/>
                <w:kern w:val="0"/>
                <w:sz w:val="24"/>
              </w:rPr>
            </w:pPr>
            <w:r>
              <w:rPr>
                <w:rFonts w:eastAsia="仿宋_GB2312"/>
                <w:kern w:val="0"/>
                <w:sz w:val="24"/>
              </w:rPr>
              <w:t>学历</w:t>
            </w:r>
          </w:p>
        </w:tc>
        <w:tc>
          <w:tcPr>
            <w:tcW w:w="615" w:type="pct"/>
            <w:gridSpan w:val="2"/>
            <w:noWrap/>
            <w:vAlign w:val="center"/>
          </w:tcPr>
          <w:p w:rsidR="00363CC0" w:rsidRDefault="00F24112">
            <w:pPr>
              <w:adjustRightInd w:val="0"/>
              <w:snapToGrid w:val="0"/>
              <w:jc w:val="center"/>
              <w:textAlignment w:val="baseline"/>
              <w:rPr>
                <w:rFonts w:eastAsia="仿宋_GB2312"/>
                <w:kern w:val="0"/>
                <w:sz w:val="24"/>
              </w:rPr>
            </w:pPr>
            <w:r>
              <w:rPr>
                <w:rFonts w:eastAsia="仿宋_GB2312"/>
                <w:kern w:val="0"/>
                <w:sz w:val="24"/>
              </w:rPr>
              <w:t>专业</w:t>
            </w:r>
          </w:p>
        </w:tc>
        <w:tc>
          <w:tcPr>
            <w:tcW w:w="978" w:type="pct"/>
            <w:gridSpan w:val="2"/>
            <w:noWrap/>
            <w:vAlign w:val="center"/>
          </w:tcPr>
          <w:p w:rsidR="00363CC0" w:rsidRDefault="00F24112">
            <w:pPr>
              <w:adjustRightInd w:val="0"/>
              <w:snapToGrid w:val="0"/>
              <w:jc w:val="center"/>
              <w:textAlignment w:val="baseline"/>
              <w:rPr>
                <w:rFonts w:eastAsia="仿宋_GB2312"/>
                <w:kern w:val="0"/>
                <w:sz w:val="24"/>
              </w:rPr>
            </w:pPr>
            <w:r>
              <w:rPr>
                <w:rFonts w:eastAsia="仿宋_GB2312"/>
                <w:kern w:val="0"/>
                <w:sz w:val="24"/>
              </w:rPr>
              <w:t>涉及特种作业种类</w:t>
            </w:r>
          </w:p>
        </w:tc>
        <w:tc>
          <w:tcPr>
            <w:tcW w:w="1027" w:type="pct"/>
            <w:noWrap/>
            <w:vAlign w:val="center"/>
          </w:tcPr>
          <w:p w:rsidR="00363CC0" w:rsidRDefault="00F24112">
            <w:pPr>
              <w:adjustRightInd w:val="0"/>
              <w:snapToGrid w:val="0"/>
              <w:jc w:val="center"/>
              <w:textAlignment w:val="baseline"/>
              <w:rPr>
                <w:rFonts w:eastAsia="仿宋_GB2312"/>
                <w:kern w:val="0"/>
                <w:sz w:val="24"/>
              </w:rPr>
            </w:pPr>
            <w:r>
              <w:rPr>
                <w:rFonts w:eastAsia="仿宋_GB2312"/>
                <w:kern w:val="0"/>
                <w:sz w:val="24"/>
              </w:rPr>
              <w:t>证书编号</w:t>
            </w:r>
          </w:p>
        </w:tc>
      </w:tr>
      <w:tr w:rsidR="00363CC0">
        <w:trPr>
          <w:trHeight w:val="454"/>
          <w:jc w:val="center"/>
        </w:trPr>
        <w:tc>
          <w:tcPr>
            <w:tcW w:w="764" w:type="pct"/>
            <w:noWrap/>
            <w:vAlign w:val="center"/>
          </w:tcPr>
          <w:p w:rsidR="00363CC0" w:rsidRDefault="00F24112">
            <w:pPr>
              <w:adjustRightInd w:val="0"/>
              <w:snapToGrid w:val="0"/>
              <w:jc w:val="left"/>
              <w:textAlignment w:val="baseline"/>
              <w:rPr>
                <w:rFonts w:eastAsia="仿宋_GB2312"/>
                <w:color w:val="FF0000"/>
                <w:kern w:val="0"/>
                <w:sz w:val="24"/>
              </w:rPr>
            </w:pPr>
            <w:r>
              <w:rPr>
                <w:rFonts w:eastAsia="仿宋_GB2312"/>
                <w:color w:val="FF0000"/>
                <w:kern w:val="0"/>
                <w:sz w:val="24"/>
              </w:rPr>
              <w:t xml:space="preserve">　</w:t>
            </w:r>
          </w:p>
        </w:tc>
        <w:tc>
          <w:tcPr>
            <w:tcW w:w="860" w:type="pct"/>
            <w:gridSpan w:val="4"/>
            <w:noWrap/>
            <w:vAlign w:val="center"/>
          </w:tcPr>
          <w:p w:rsidR="00363CC0" w:rsidRDefault="00F24112">
            <w:pPr>
              <w:adjustRightInd w:val="0"/>
              <w:snapToGrid w:val="0"/>
              <w:jc w:val="center"/>
              <w:textAlignment w:val="baseline"/>
              <w:rPr>
                <w:rFonts w:eastAsia="仿宋_GB2312"/>
                <w:color w:val="FF0000"/>
                <w:kern w:val="0"/>
                <w:sz w:val="24"/>
              </w:rPr>
            </w:pPr>
            <w:r>
              <w:rPr>
                <w:rFonts w:eastAsia="仿宋_GB2312"/>
                <w:color w:val="FF0000"/>
                <w:kern w:val="0"/>
                <w:sz w:val="24"/>
              </w:rPr>
              <w:t xml:space="preserve">　</w:t>
            </w:r>
          </w:p>
        </w:tc>
        <w:tc>
          <w:tcPr>
            <w:tcW w:w="756" w:type="pct"/>
            <w:gridSpan w:val="2"/>
            <w:noWrap/>
            <w:vAlign w:val="center"/>
          </w:tcPr>
          <w:p w:rsidR="00363CC0" w:rsidRDefault="00F24112">
            <w:pPr>
              <w:adjustRightInd w:val="0"/>
              <w:snapToGrid w:val="0"/>
              <w:jc w:val="center"/>
              <w:textAlignment w:val="baseline"/>
              <w:rPr>
                <w:rFonts w:eastAsia="仿宋_GB2312"/>
                <w:color w:val="FF0000"/>
                <w:kern w:val="0"/>
                <w:sz w:val="24"/>
              </w:rPr>
            </w:pPr>
            <w:r>
              <w:rPr>
                <w:rFonts w:eastAsia="仿宋_GB2312"/>
                <w:color w:val="FF0000"/>
                <w:kern w:val="0"/>
                <w:sz w:val="24"/>
              </w:rPr>
              <w:t xml:space="preserve">　</w:t>
            </w:r>
          </w:p>
        </w:tc>
        <w:tc>
          <w:tcPr>
            <w:tcW w:w="615" w:type="pct"/>
            <w:gridSpan w:val="2"/>
            <w:noWrap/>
            <w:vAlign w:val="center"/>
          </w:tcPr>
          <w:p w:rsidR="00363CC0" w:rsidRDefault="00F24112">
            <w:pPr>
              <w:adjustRightInd w:val="0"/>
              <w:snapToGrid w:val="0"/>
              <w:jc w:val="center"/>
              <w:textAlignment w:val="baseline"/>
              <w:rPr>
                <w:rFonts w:eastAsia="仿宋_GB2312"/>
                <w:color w:val="FF0000"/>
                <w:kern w:val="0"/>
                <w:sz w:val="24"/>
              </w:rPr>
            </w:pPr>
            <w:r>
              <w:rPr>
                <w:rFonts w:eastAsia="仿宋_GB2312"/>
                <w:color w:val="FF0000"/>
                <w:kern w:val="0"/>
                <w:sz w:val="24"/>
              </w:rPr>
              <w:t xml:space="preserve">　</w:t>
            </w:r>
          </w:p>
        </w:tc>
        <w:tc>
          <w:tcPr>
            <w:tcW w:w="978" w:type="pct"/>
            <w:gridSpan w:val="2"/>
            <w:vAlign w:val="center"/>
          </w:tcPr>
          <w:p w:rsidR="00363CC0" w:rsidRDefault="00363CC0">
            <w:pPr>
              <w:adjustRightInd w:val="0"/>
              <w:snapToGrid w:val="0"/>
              <w:jc w:val="center"/>
              <w:textAlignment w:val="baseline"/>
              <w:rPr>
                <w:rFonts w:eastAsia="仿宋_GB2312"/>
                <w:kern w:val="0"/>
                <w:sz w:val="24"/>
              </w:rPr>
            </w:pPr>
          </w:p>
        </w:tc>
        <w:tc>
          <w:tcPr>
            <w:tcW w:w="1027" w:type="pct"/>
            <w:vAlign w:val="center"/>
          </w:tcPr>
          <w:p w:rsidR="00363CC0" w:rsidRDefault="00363CC0">
            <w:pPr>
              <w:adjustRightInd w:val="0"/>
              <w:snapToGrid w:val="0"/>
              <w:jc w:val="center"/>
              <w:textAlignment w:val="baseline"/>
              <w:rPr>
                <w:rFonts w:eastAsia="仿宋_GB2312"/>
                <w:kern w:val="0"/>
                <w:sz w:val="24"/>
              </w:rPr>
            </w:pPr>
          </w:p>
        </w:tc>
      </w:tr>
      <w:tr w:rsidR="00363CC0">
        <w:trPr>
          <w:trHeight w:val="454"/>
          <w:jc w:val="center"/>
        </w:trPr>
        <w:tc>
          <w:tcPr>
            <w:tcW w:w="764" w:type="pct"/>
            <w:noWrap/>
            <w:vAlign w:val="center"/>
          </w:tcPr>
          <w:p w:rsidR="00363CC0" w:rsidRDefault="00F24112">
            <w:pPr>
              <w:adjustRightInd w:val="0"/>
              <w:snapToGrid w:val="0"/>
              <w:jc w:val="left"/>
              <w:textAlignment w:val="baseline"/>
              <w:rPr>
                <w:rFonts w:eastAsia="仿宋_GB2312"/>
                <w:color w:val="FF0000"/>
                <w:kern w:val="0"/>
                <w:sz w:val="24"/>
              </w:rPr>
            </w:pPr>
            <w:r>
              <w:rPr>
                <w:rFonts w:eastAsia="仿宋_GB2312"/>
                <w:color w:val="FF0000"/>
                <w:kern w:val="0"/>
                <w:sz w:val="24"/>
              </w:rPr>
              <w:t xml:space="preserve">　</w:t>
            </w:r>
          </w:p>
        </w:tc>
        <w:tc>
          <w:tcPr>
            <w:tcW w:w="860" w:type="pct"/>
            <w:gridSpan w:val="4"/>
            <w:noWrap/>
            <w:vAlign w:val="center"/>
          </w:tcPr>
          <w:p w:rsidR="00363CC0" w:rsidRDefault="00F24112">
            <w:pPr>
              <w:adjustRightInd w:val="0"/>
              <w:snapToGrid w:val="0"/>
              <w:jc w:val="center"/>
              <w:textAlignment w:val="baseline"/>
              <w:rPr>
                <w:rFonts w:eastAsia="仿宋_GB2312"/>
                <w:color w:val="FF0000"/>
                <w:kern w:val="0"/>
                <w:sz w:val="24"/>
              </w:rPr>
            </w:pPr>
            <w:r>
              <w:rPr>
                <w:rFonts w:eastAsia="仿宋_GB2312"/>
                <w:color w:val="FF0000"/>
                <w:kern w:val="0"/>
                <w:sz w:val="24"/>
              </w:rPr>
              <w:t xml:space="preserve">　</w:t>
            </w:r>
          </w:p>
        </w:tc>
        <w:tc>
          <w:tcPr>
            <w:tcW w:w="756" w:type="pct"/>
            <w:gridSpan w:val="2"/>
            <w:noWrap/>
            <w:vAlign w:val="center"/>
          </w:tcPr>
          <w:p w:rsidR="00363CC0" w:rsidRDefault="00F24112">
            <w:pPr>
              <w:adjustRightInd w:val="0"/>
              <w:snapToGrid w:val="0"/>
              <w:jc w:val="center"/>
              <w:textAlignment w:val="baseline"/>
              <w:rPr>
                <w:rFonts w:eastAsia="仿宋_GB2312"/>
                <w:color w:val="FF0000"/>
                <w:kern w:val="0"/>
                <w:sz w:val="24"/>
              </w:rPr>
            </w:pPr>
            <w:r>
              <w:rPr>
                <w:rFonts w:eastAsia="仿宋_GB2312"/>
                <w:color w:val="FF0000"/>
                <w:kern w:val="0"/>
                <w:sz w:val="24"/>
              </w:rPr>
              <w:t xml:space="preserve">　</w:t>
            </w:r>
          </w:p>
        </w:tc>
        <w:tc>
          <w:tcPr>
            <w:tcW w:w="615" w:type="pct"/>
            <w:gridSpan w:val="2"/>
            <w:noWrap/>
            <w:vAlign w:val="center"/>
          </w:tcPr>
          <w:p w:rsidR="00363CC0" w:rsidRDefault="00F24112">
            <w:pPr>
              <w:adjustRightInd w:val="0"/>
              <w:snapToGrid w:val="0"/>
              <w:jc w:val="center"/>
              <w:textAlignment w:val="baseline"/>
              <w:rPr>
                <w:rFonts w:eastAsia="仿宋_GB2312"/>
                <w:color w:val="FF0000"/>
                <w:kern w:val="0"/>
                <w:sz w:val="24"/>
              </w:rPr>
            </w:pPr>
            <w:r>
              <w:rPr>
                <w:rFonts w:eastAsia="仿宋_GB2312"/>
                <w:color w:val="FF0000"/>
                <w:kern w:val="0"/>
                <w:sz w:val="24"/>
              </w:rPr>
              <w:t xml:space="preserve">　</w:t>
            </w:r>
          </w:p>
        </w:tc>
        <w:tc>
          <w:tcPr>
            <w:tcW w:w="978" w:type="pct"/>
            <w:gridSpan w:val="2"/>
            <w:vAlign w:val="center"/>
          </w:tcPr>
          <w:p w:rsidR="00363CC0" w:rsidRDefault="00363CC0">
            <w:pPr>
              <w:adjustRightInd w:val="0"/>
              <w:snapToGrid w:val="0"/>
              <w:jc w:val="center"/>
              <w:textAlignment w:val="baseline"/>
              <w:rPr>
                <w:rFonts w:eastAsia="仿宋_GB2312"/>
                <w:color w:val="FF0000"/>
                <w:kern w:val="0"/>
                <w:sz w:val="24"/>
              </w:rPr>
            </w:pPr>
          </w:p>
        </w:tc>
        <w:tc>
          <w:tcPr>
            <w:tcW w:w="1027" w:type="pct"/>
            <w:vAlign w:val="center"/>
          </w:tcPr>
          <w:p w:rsidR="00363CC0" w:rsidRDefault="00363CC0">
            <w:pPr>
              <w:adjustRightInd w:val="0"/>
              <w:snapToGrid w:val="0"/>
              <w:jc w:val="center"/>
              <w:textAlignment w:val="baseline"/>
              <w:rPr>
                <w:rFonts w:eastAsia="仿宋_GB2312"/>
                <w:color w:val="FF0000"/>
                <w:kern w:val="0"/>
                <w:sz w:val="24"/>
              </w:rPr>
            </w:pPr>
          </w:p>
        </w:tc>
      </w:tr>
      <w:tr w:rsidR="00363CC0">
        <w:trPr>
          <w:trHeight w:val="454"/>
          <w:jc w:val="center"/>
        </w:trPr>
        <w:tc>
          <w:tcPr>
            <w:tcW w:w="764" w:type="pct"/>
            <w:noWrap/>
            <w:vAlign w:val="center"/>
          </w:tcPr>
          <w:p w:rsidR="00363CC0" w:rsidRDefault="00F24112">
            <w:pPr>
              <w:adjustRightInd w:val="0"/>
              <w:snapToGrid w:val="0"/>
              <w:jc w:val="left"/>
              <w:textAlignment w:val="baseline"/>
              <w:rPr>
                <w:rFonts w:eastAsia="仿宋_GB2312"/>
                <w:color w:val="FF0000"/>
                <w:kern w:val="0"/>
                <w:sz w:val="24"/>
              </w:rPr>
            </w:pPr>
            <w:r>
              <w:rPr>
                <w:rFonts w:eastAsia="仿宋_GB2312"/>
                <w:color w:val="FF0000"/>
                <w:kern w:val="0"/>
                <w:sz w:val="24"/>
              </w:rPr>
              <w:t xml:space="preserve">　</w:t>
            </w:r>
          </w:p>
        </w:tc>
        <w:tc>
          <w:tcPr>
            <w:tcW w:w="860" w:type="pct"/>
            <w:gridSpan w:val="4"/>
            <w:noWrap/>
            <w:vAlign w:val="center"/>
          </w:tcPr>
          <w:p w:rsidR="00363CC0" w:rsidRDefault="00F24112">
            <w:pPr>
              <w:adjustRightInd w:val="0"/>
              <w:snapToGrid w:val="0"/>
              <w:jc w:val="center"/>
              <w:textAlignment w:val="baseline"/>
              <w:rPr>
                <w:rFonts w:eastAsia="仿宋_GB2312"/>
                <w:color w:val="FF0000"/>
                <w:kern w:val="0"/>
                <w:sz w:val="24"/>
              </w:rPr>
            </w:pPr>
            <w:r>
              <w:rPr>
                <w:rFonts w:eastAsia="仿宋_GB2312"/>
                <w:color w:val="FF0000"/>
                <w:kern w:val="0"/>
                <w:sz w:val="24"/>
              </w:rPr>
              <w:t xml:space="preserve">　</w:t>
            </w:r>
          </w:p>
        </w:tc>
        <w:tc>
          <w:tcPr>
            <w:tcW w:w="756" w:type="pct"/>
            <w:gridSpan w:val="2"/>
            <w:noWrap/>
            <w:vAlign w:val="center"/>
          </w:tcPr>
          <w:p w:rsidR="00363CC0" w:rsidRDefault="00F24112">
            <w:pPr>
              <w:adjustRightInd w:val="0"/>
              <w:snapToGrid w:val="0"/>
              <w:jc w:val="center"/>
              <w:textAlignment w:val="baseline"/>
              <w:rPr>
                <w:rFonts w:eastAsia="仿宋_GB2312"/>
                <w:color w:val="FF0000"/>
                <w:kern w:val="0"/>
                <w:sz w:val="24"/>
              </w:rPr>
            </w:pPr>
            <w:r>
              <w:rPr>
                <w:rFonts w:eastAsia="仿宋_GB2312"/>
                <w:color w:val="FF0000"/>
                <w:kern w:val="0"/>
                <w:sz w:val="24"/>
              </w:rPr>
              <w:t xml:space="preserve">　</w:t>
            </w:r>
          </w:p>
        </w:tc>
        <w:tc>
          <w:tcPr>
            <w:tcW w:w="615" w:type="pct"/>
            <w:gridSpan w:val="2"/>
            <w:noWrap/>
            <w:vAlign w:val="center"/>
          </w:tcPr>
          <w:p w:rsidR="00363CC0" w:rsidRDefault="00F24112">
            <w:pPr>
              <w:adjustRightInd w:val="0"/>
              <w:snapToGrid w:val="0"/>
              <w:jc w:val="center"/>
              <w:textAlignment w:val="baseline"/>
              <w:rPr>
                <w:rFonts w:eastAsia="仿宋_GB2312"/>
                <w:color w:val="FF0000"/>
                <w:kern w:val="0"/>
                <w:sz w:val="24"/>
              </w:rPr>
            </w:pPr>
            <w:r>
              <w:rPr>
                <w:rFonts w:eastAsia="仿宋_GB2312"/>
                <w:color w:val="FF0000"/>
                <w:kern w:val="0"/>
                <w:sz w:val="24"/>
              </w:rPr>
              <w:t xml:space="preserve">　</w:t>
            </w:r>
          </w:p>
        </w:tc>
        <w:tc>
          <w:tcPr>
            <w:tcW w:w="978" w:type="pct"/>
            <w:gridSpan w:val="2"/>
            <w:vAlign w:val="center"/>
          </w:tcPr>
          <w:p w:rsidR="00363CC0" w:rsidRDefault="00363CC0">
            <w:pPr>
              <w:adjustRightInd w:val="0"/>
              <w:snapToGrid w:val="0"/>
              <w:jc w:val="center"/>
              <w:textAlignment w:val="baseline"/>
              <w:rPr>
                <w:rFonts w:eastAsia="仿宋_GB2312"/>
                <w:color w:val="FF0000"/>
                <w:kern w:val="0"/>
                <w:sz w:val="24"/>
              </w:rPr>
            </w:pPr>
          </w:p>
        </w:tc>
        <w:tc>
          <w:tcPr>
            <w:tcW w:w="1027" w:type="pct"/>
            <w:vAlign w:val="center"/>
          </w:tcPr>
          <w:p w:rsidR="00363CC0" w:rsidRDefault="00363CC0">
            <w:pPr>
              <w:adjustRightInd w:val="0"/>
              <w:snapToGrid w:val="0"/>
              <w:jc w:val="center"/>
              <w:textAlignment w:val="baseline"/>
              <w:rPr>
                <w:rFonts w:eastAsia="仿宋_GB2312"/>
                <w:color w:val="FF0000"/>
                <w:kern w:val="0"/>
                <w:sz w:val="24"/>
              </w:rPr>
            </w:pPr>
          </w:p>
        </w:tc>
      </w:tr>
      <w:tr w:rsidR="00363CC0">
        <w:trPr>
          <w:trHeight w:val="454"/>
          <w:jc w:val="center"/>
        </w:trPr>
        <w:tc>
          <w:tcPr>
            <w:tcW w:w="5000" w:type="pct"/>
            <w:gridSpan w:val="1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3.</w:t>
            </w:r>
            <w:r>
              <w:rPr>
                <w:rFonts w:eastAsia="仿宋_GB2312"/>
                <w:color w:val="000000"/>
                <w:kern w:val="0"/>
                <w:sz w:val="24"/>
              </w:rPr>
              <w:t>安全生产许可证信息</w:t>
            </w:r>
          </w:p>
        </w:tc>
      </w:tr>
      <w:tr w:rsidR="00363CC0">
        <w:trPr>
          <w:trHeight w:val="731"/>
          <w:jc w:val="center"/>
        </w:trPr>
        <w:tc>
          <w:tcPr>
            <w:tcW w:w="764" w:type="pct"/>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许可证编号</w:t>
            </w:r>
          </w:p>
        </w:tc>
        <w:tc>
          <w:tcPr>
            <w:tcW w:w="860" w:type="pct"/>
            <w:gridSpan w:val="4"/>
            <w:vAlign w:val="center"/>
          </w:tcPr>
          <w:p w:rsidR="00363CC0" w:rsidRDefault="00363CC0">
            <w:pPr>
              <w:adjustRightInd w:val="0"/>
              <w:snapToGrid w:val="0"/>
              <w:jc w:val="center"/>
              <w:textAlignment w:val="baseline"/>
              <w:rPr>
                <w:rFonts w:eastAsia="仿宋_GB2312"/>
                <w:color w:val="000000"/>
                <w:kern w:val="0"/>
                <w:sz w:val="24"/>
              </w:rPr>
            </w:pPr>
          </w:p>
        </w:tc>
        <w:tc>
          <w:tcPr>
            <w:tcW w:w="756" w:type="pct"/>
            <w:gridSpan w:val="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许可有效期</w:t>
            </w:r>
          </w:p>
        </w:tc>
        <w:tc>
          <w:tcPr>
            <w:tcW w:w="615" w:type="pct"/>
            <w:gridSpan w:val="2"/>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c>
          <w:tcPr>
            <w:tcW w:w="978" w:type="pct"/>
            <w:gridSpan w:val="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许可范围</w:t>
            </w:r>
          </w:p>
        </w:tc>
        <w:tc>
          <w:tcPr>
            <w:tcW w:w="1027" w:type="pct"/>
            <w:noWrap/>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 xml:space="preserve">　</w:t>
            </w:r>
          </w:p>
        </w:tc>
      </w:tr>
      <w:tr w:rsidR="00363CC0">
        <w:trPr>
          <w:trHeight w:val="454"/>
          <w:jc w:val="center"/>
        </w:trPr>
        <w:tc>
          <w:tcPr>
            <w:tcW w:w="5000" w:type="pct"/>
            <w:gridSpan w:val="1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4.</w:t>
            </w:r>
            <w:r>
              <w:rPr>
                <w:rFonts w:eastAsia="仿宋_GB2312"/>
                <w:color w:val="000000"/>
                <w:kern w:val="0"/>
                <w:sz w:val="24"/>
              </w:rPr>
              <w:t>安全管理机构</w:t>
            </w:r>
          </w:p>
        </w:tc>
      </w:tr>
      <w:tr w:rsidR="00363CC0">
        <w:trPr>
          <w:trHeight w:val="312"/>
          <w:jc w:val="center"/>
        </w:trPr>
        <w:tc>
          <w:tcPr>
            <w:tcW w:w="5000" w:type="pct"/>
            <w:gridSpan w:val="12"/>
            <w:vMerge w:val="restart"/>
            <w:vAlign w:val="center"/>
          </w:tcPr>
          <w:p w:rsidR="00363CC0" w:rsidRDefault="00F24112">
            <w:pPr>
              <w:adjustRightInd w:val="0"/>
              <w:snapToGrid w:val="0"/>
              <w:textAlignment w:val="baseline"/>
              <w:rPr>
                <w:rFonts w:eastAsia="仿宋_GB2312"/>
                <w:color w:val="000000"/>
                <w:kern w:val="0"/>
                <w:sz w:val="24"/>
              </w:rPr>
            </w:pPr>
            <w:r>
              <w:rPr>
                <w:rFonts w:eastAsia="仿宋_GB2312"/>
                <w:color w:val="000000"/>
                <w:kern w:val="0"/>
                <w:sz w:val="24"/>
              </w:rPr>
              <w:t>（组织机构图）</w:t>
            </w:r>
          </w:p>
        </w:tc>
      </w:tr>
      <w:tr w:rsidR="00363CC0">
        <w:trPr>
          <w:trHeight w:val="312"/>
          <w:jc w:val="center"/>
        </w:trPr>
        <w:tc>
          <w:tcPr>
            <w:tcW w:w="5000" w:type="pct"/>
            <w:gridSpan w:val="12"/>
            <w:vMerge/>
            <w:vAlign w:val="center"/>
          </w:tcPr>
          <w:p w:rsidR="00363CC0" w:rsidRDefault="00363CC0">
            <w:pPr>
              <w:adjustRightInd w:val="0"/>
              <w:snapToGrid w:val="0"/>
              <w:jc w:val="left"/>
              <w:textAlignment w:val="baseline"/>
              <w:rPr>
                <w:rFonts w:eastAsia="仿宋_GB2312"/>
                <w:color w:val="000000"/>
                <w:kern w:val="0"/>
                <w:sz w:val="24"/>
              </w:rPr>
            </w:pPr>
          </w:p>
        </w:tc>
      </w:tr>
      <w:tr w:rsidR="00363CC0">
        <w:trPr>
          <w:trHeight w:val="311"/>
          <w:jc w:val="center"/>
        </w:trPr>
        <w:tc>
          <w:tcPr>
            <w:tcW w:w="5000" w:type="pct"/>
            <w:gridSpan w:val="12"/>
            <w:vMerge/>
            <w:vAlign w:val="center"/>
          </w:tcPr>
          <w:p w:rsidR="00363CC0" w:rsidRDefault="00363CC0">
            <w:pPr>
              <w:adjustRightInd w:val="0"/>
              <w:snapToGrid w:val="0"/>
              <w:jc w:val="left"/>
              <w:textAlignment w:val="baseline"/>
              <w:rPr>
                <w:rFonts w:eastAsia="仿宋_GB2312"/>
                <w:color w:val="000000"/>
                <w:kern w:val="0"/>
                <w:sz w:val="24"/>
              </w:rPr>
            </w:pPr>
          </w:p>
        </w:tc>
      </w:tr>
      <w:tr w:rsidR="00363CC0">
        <w:trPr>
          <w:trHeight w:val="454"/>
          <w:jc w:val="center"/>
        </w:trPr>
        <w:tc>
          <w:tcPr>
            <w:tcW w:w="5000" w:type="pct"/>
            <w:gridSpan w:val="1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lastRenderedPageBreak/>
              <w:t>5.</w:t>
            </w:r>
            <w:r>
              <w:rPr>
                <w:rFonts w:eastAsia="仿宋_GB2312"/>
                <w:color w:val="000000"/>
                <w:kern w:val="0"/>
                <w:sz w:val="24"/>
              </w:rPr>
              <w:t>安全管理制度及操作规程清单</w:t>
            </w:r>
          </w:p>
        </w:tc>
      </w:tr>
      <w:tr w:rsidR="00363CC0">
        <w:trPr>
          <w:trHeight w:val="312"/>
          <w:jc w:val="center"/>
        </w:trPr>
        <w:tc>
          <w:tcPr>
            <w:tcW w:w="5000" w:type="pct"/>
            <w:gridSpan w:val="12"/>
            <w:vMerge w:val="restart"/>
            <w:vAlign w:val="center"/>
          </w:tcPr>
          <w:p w:rsidR="00363CC0" w:rsidRDefault="00F24112">
            <w:pPr>
              <w:adjustRightInd w:val="0"/>
              <w:snapToGrid w:val="0"/>
              <w:textAlignment w:val="baseline"/>
              <w:rPr>
                <w:rFonts w:eastAsia="仿宋_GB2312"/>
                <w:color w:val="000000"/>
                <w:kern w:val="0"/>
                <w:sz w:val="24"/>
              </w:rPr>
            </w:pPr>
            <w:r>
              <w:rPr>
                <w:rFonts w:eastAsia="仿宋_GB2312"/>
                <w:color w:val="000000"/>
                <w:kern w:val="0"/>
                <w:sz w:val="24"/>
              </w:rPr>
              <w:t xml:space="preserve">　</w:t>
            </w:r>
          </w:p>
        </w:tc>
      </w:tr>
      <w:tr w:rsidR="00363CC0">
        <w:trPr>
          <w:trHeight w:val="450"/>
          <w:jc w:val="center"/>
        </w:trPr>
        <w:tc>
          <w:tcPr>
            <w:tcW w:w="5000" w:type="pct"/>
            <w:gridSpan w:val="12"/>
            <w:vMerge/>
            <w:vAlign w:val="center"/>
          </w:tcPr>
          <w:p w:rsidR="00363CC0" w:rsidRDefault="00363CC0">
            <w:pPr>
              <w:adjustRightInd w:val="0"/>
              <w:snapToGrid w:val="0"/>
              <w:jc w:val="left"/>
              <w:textAlignment w:val="baseline"/>
              <w:rPr>
                <w:rFonts w:eastAsia="仿宋_GB2312"/>
                <w:color w:val="000000"/>
                <w:kern w:val="0"/>
                <w:sz w:val="24"/>
              </w:rPr>
            </w:pPr>
          </w:p>
        </w:tc>
      </w:tr>
      <w:tr w:rsidR="00363CC0">
        <w:trPr>
          <w:trHeight w:val="557"/>
          <w:jc w:val="center"/>
        </w:trPr>
        <w:tc>
          <w:tcPr>
            <w:tcW w:w="5000" w:type="pct"/>
            <w:gridSpan w:val="1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6.</w:t>
            </w:r>
            <w:r>
              <w:rPr>
                <w:rFonts w:eastAsia="仿宋_GB2312"/>
                <w:color w:val="000000"/>
                <w:kern w:val="0"/>
                <w:sz w:val="24"/>
              </w:rPr>
              <w:t>安全生产管理水平</w:t>
            </w:r>
          </w:p>
        </w:tc>
      </w:tr>
      <w:tr w:rsidR="00363CC0">
        <w:trPr>
          <w:trHeight w:val="662"/>
          <w:jc w:val="center"/>
        </w:trPr>
        <w:tc>
          <w:tcPr>
            <w:tcW w:w="5000" w:type="pct"/>
            <w:gridSpan w:val="12"/>
            <w:vAlign w:val="center"/>
          </w:tcPr>
          <w:p w:rsidR="00363CC0" w:rsidRDefault="00F24112">
            <w:pPr>
              <w:adjustRightInd w:val="0"/>
              <w:snapToGrid w:val="0"/>
              <w:textAlignment w:val="baseline"/>
              <w:rPr>
                <w:rFonts w:eastAsia="仿宋_GB2312"/>
                <w:color w:val="000000"/>
                <w:kern w:val="0"/>
                <w:sz w:val="24"/>
              </w:rPr>
            </w:pPr>
            <w:r>
              <w:rPr>
                <w:rFonts w:eastAsia="仿宋_GB2312"/>
                <w:color w:val="000000"/>
                <w:kern w:val="0"/>
                <w:sz w:val="24"/>
              </w:rPr>
              <w:t>安全生产标准化达标情况：</w:t>
            </w:r>
            <w:r>
              <w:rPr>
                <w:rFonts w:eastAsia="仿宋_GB2312"/>
                <w:color w:val="000000"/>
                <w:kern w:val="0"/>
                <w:sz w:val="24"/>
              </w:rPr>
              <w:t>□</w:t>
            </w:r>
            <w:r>
              <w:rPr>
                <w:rFonts w:eastAsia="仿宋_GB2312"/>
                <w:color w:val="000000"/>
                <w:kern w:val="0"/>
                <w:sz w:val="24"/>
              </w:rPr>
              <w:t>一级</w:t>
            </w:r>
            <w:r>
              <w:rPr>
                <w:rFonts w:eastAsia="仿宋_GB2312"/>
                <w:color w:val="000000"/>
                <w:kern w:val="0"/>
                <w:sz w:val="24"/>
              </w:rPr>
              <w:t xml:space="preserve">  □</w:t>
            </w:r>
            <w:r>
              <w:rPr>
                <w:rFonts w:eastAsia="仿宋_GB2312"/>
                <w:color w:val="000000"/>
                <w:kern w:val="0"/>
                <w:sz w:val="24"/>
              </w:rPr>
              <w:t>二级</w:t>
            </w:r>
            <w:r>
              <w:rPr>
                <w:rFonts w:eastAsia="仿宋_GB2312"/>
                <w:color w:val="000000"/>
                <w:kern w:val="0"/>
                <w:sz w:val="24"/>
              </w:rPr>
              <w:t xml:space="preserve">  □</w:t>
            </w:r>
            <w:r>
              <w:rPr>
                <w:rFonts w:eastAsia="仿宋_GB2312"/>
                <w:color w:val="000000"/>
                <w:kern w:val="0"/>
                <w:sz w:val="24"/>
              </w:rPr>
              <w:t>三级</w:t>
            </w:r>
            <w:r>
              <w:rPr>
                <w:rFonts w:eastAsia="仿宋_GB2312"/>
                <w:color w:val="000000"/>
                <w:kern w:val="0"/>
                <w:sz w:val="24"/>
              </w:rPr>
              <w:t xml:space="preserve">  □</w:t>
            </w:r>
            <w:r>
              <w:rPr>
                <w:rFonts w:eastAsia="仿宋_GB2312"/>
                <w:color w:val="000000"/>
                <w:kern w:val="0"/>
                <w:sz w:val="24"/>
              </w:rPr>
              <w:t>未达标</w:t>
            </w:r>
          </w:p>
        </w:tc>
      </w:tr>
      <w:tr w:rsidR="00363CC0">
        <w:trPr>
          <w:trHeight w:val="446"/>
          <w:jc w:val="center"/>
        </w:trPr>
        <w:tc>
          <w:tcPr>
            <w:tcW w:w="5000" w:type="pct"/>
            <w:gridSpan w:val="12"/>
            <w:vAlign w:val="center"/>
          </w:tcPr>
          <w:p w:rsidR="00363CC0" w:rsidRDefault="00F24112">
            <w:pPr>
              <w:adjustRightInd w:val="0"/>
              <w:snapToGrid w:val="0"/>
              <w:jc w:val="center"/>
              <w:textAlignment w:val="baseline"/>
              <w:rPr>
                <w:rFonts w:eastAsia="仿宋_GB2312"/>
                <w:color w:val="000000"/>
                <w:kern w:val="0"/>
                <w:sz w:val="24"/>
              </w:rPr>
            </w:pPr>
            <w:r>
              <w:rPr>
                <w:rFonts w:eastAsia="仿宋_GB2312"/>
                <w:color w:val="000000"/>
                <w:kern w:val="0"/>
                <w:sz w:val="24"/>
              </w:rPr>
              <w:t>7.</w:t>
            </w:r>
            <w:r>
              <w:rPr>
                <w:rFonts w:eastAsia="仿宋_GB2312"/>
                <w:color w:val="000000"/>
                <w:kern w:val="0"/>
                <w:sz w:val="24"/>
              </w:rPr>
              <w:t>风险信息</w:t>
            </w:r>
          </w:p>
        </w:tc>
      </w:tr>
      <w:tr w:rsidR="00363CC0">
        <w:trPr>
          <w:trHeight w:val="300"/>
          <w:jc w:val="center"/>
        </w:trPr>
        <w:tc>
          <w:tcPr>
            <w:tcW w:w="998" w:type="pct"/>
            <w:gridSpan w:val="2"/>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重大风险数量</w:t>
            </w:r>
            <w:r>
              <w:rPr>
                <w:rFonts w:eastAsia="仿宋_GB2312"/>
                <w:color w:val="000000"/>
                <w:kern w:val="0"/>
                <w:sz w:val="24"/>
              </w:rPr>
              <w:t xml:space="preserve"> </w:t>
            </w:r>
          </w:p>
        </w:tc>
        <w:tc>
          <w:tcPr>
            <w:tcW w:w="626" w:type="pct"/>
            <w:gridSpan w:val="3"/>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 xml:space="preserve">　</w:t>
            </w:r>
          </w:p>
        </w:tc>
        <w:tc>
          <w:tcPr>
            <w:tcW w:w="1095" w:type="pct"/>
            <w:gridSpan w:val="3"/>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涉及的生产系统和岗位（环节）</w:t>
            </w:r>
          </w:p>
        </w:tc>
        <w:tc>
          <w:tcPr>
            <w:tcW w:w="2281" w:type="pct"/>
            <w:gridSpan w:val="4"/>
            <w:noWrap/>
            <w:vAlign w:val="center"/>
          </w:tcPr>
          <w:p w:rsidR="00363CC0" w:rsidRDefault="00363CC0">
            <w:pPr>
              <w:adjustRightInd w:val="0"/>
              <w:snapToGrid w:val="0"/>
              <w:jc w:val="left"/>
              <w:textAlignment w:val="baseline"/>
              <w:rPr>
                <w:rFonts w:eastAsia="仿宋_GB2312"/>
                <w:color w:val="000000"/>
                <w:kern w:val="0"/>
                <w:sz w:val="24"/>
              </w:rPr>
            </w:pPr>
          </w:p>
        </w:tc>
      </w:tr>
      <w:tr w:rsidR="00363CC0">
        <w:trPr>
          <w:trHeight w:val="300"/>
          <w:jc w:val="center"/>
        </w:trPr>
        <w:tc>
          <w:tcPr>
            <w:tcW w:w="998" w:type="pct"/>
            <w:gridSpan w:val="2"/>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较大风险数量</w:t>
            </w:r>
          </w:p>
        </w:tc>
        <w:tc>
          <w:tcPr>
            <w:tcW w:w="626" w:type="pct"/>
            <w:gridSpan w:val="3"/>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 xml:space="preserve">　</w:t>
            </w:r>
          </w:p>
        </w:tc>
        <w:tc>
          <w:tcPr>
            <w:tcW w:w="1095" w:type="pct"/>
            <w:gridSpan w:val="3"/>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涉及的生产系统和岗位（环节）</w:t>
            </w:r>
          </w:p>
        </w:tc>
        <w:tc>
          <w:tcPr>
            <w:tcW w:w="2281" w:type="pct"/>
            <w:gridSpan w:val="4"/>
            <w:noWrap/>
            <w:vAlign w:val="center"/>
          </w:tcPr>
          <w:p w:rsidR="00363CC0" w:rsidRDefault="00363CC0">
            <w:pPr>
              <w:adjustRightInd w:val="0"/>
              <w:snapToGrid w:val="0"/>
              <w:jc w:val="left"/>
              <w:textAlignment w:val="baseline"/>
              <w:rPr>
                <w:rFonts w:eastAsia="仿宋_GB2312"/>
                <w:color w:val="000000"/>
                <w:kern w:val="0"/>
                <w:sz w:val="24"/>
              </w:rPr>
            </w:pPr>
          </w:p>
        </w:tc>
      </w:tr>
      <w:tr w:rsidR="00363CC0">
        <w:trPr>
          <w:trHeight w:val="300"/>
          <w:jc w:val="center"/>
        </w:trPr>
        <w:tc>
          <w:tcPr>
            <w:tcW w:w="998" w:type="pct"/>
            <w:gridSpan w:val="2"/>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一般风险数量</w:t>
            </w:r>
          </w:p>
        </w:tc>
        <w:tc>
          <w:tcPr>
            <w:tcW w:w="626" w:type="pct"/>
            <w:gridSpan w:val="3"/>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 xml:space="preserve">　</w:t>
            </w:r>
          </w:p>
        </w:tc>
        <w:tc>
          <w:tcPr>
            <w:tcW w:w="1095" w:type="pct"/>
            <w:gridSpan w:val="3"/>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涉及的生产系统和岗位（环节）</w:t>
            </w:r>
          </w:p>
        </w:tc>
        <w:tc>
          <w:tcPr>
            <w:tcW w:w="2281" w:type="pct"/>
            <w:gridSpan w:val="4"/>
            <w:noWrap/>
            <w:vAlign w:val="center"/>
          </w:tcPr>
          <w:p w:rsidR="00363CC0" w:rsidRDefault="00363CC0">
            <w:pPr>
              <w:adjustRightInd w:val="0"/>
              <w:snapToGrid w:val="0"/>
              <w:jc w:val="left"/>
              <w:textAlignment w:val="baseline"/>
              <w:rPr>
                <w:rFonts w:eastAsia="仿宋_GB2312"/>
                <w:color w:val="000000"/>
                <w:kern w:val="0"/>
                <w:sz w:val="24"/>
              </w:rPr>
            </w:pPr>
          </w:p>
        </w:tc>
      </w:tr>
      <w:tr w:rsidR="00363CC0">
        <w:trPr>
          <w:trHeight w:val="285"/>
          <w:jc w:val="center"/>
        </w:trPr>
        <w:tc>
          <w:tcPr>
            <w:tcW w:w="998" w:type="pct"/>
            <w:gridSpan w:val="2"/>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低风险数量</w:t>
            </w:r>
          </w:p>
        </w:tc>
        <w:tc>
          <w:tcPr>
            <w:tcW w:w="626" w:type="pct"/>
            <w:gridSpan w:val="3"/>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 xml:space="preserve">　</w:t>
            </w:r>
          </w:p>
        </w:tc>
        <w:tc>
          <w:tcPr>
            <w:tcW w:w="1095" w:type="pct"/>
            <w:gridSpan w:val="3"/>
            <w:vAlign w:val="center"/>
          </w:tcPr>
          <w:p w:rsidR="00363CC0" w:rsidRDefault="00F24112">
            <w:pPr>
              <w:adjustRightInd w:val="0"/>
              <w:snapToGrid w:val="0"/>
              <w:jc w:val="left"/>
              <w:textAlignment w:val="baseline"/>
              <w:rPr>
                <w:rFonts w:eastAsia="仿宋_GB2312"/>
                <w:color w:val="000000"/>
                <w:kern w:val="0"/>
                <w:sz w:val="24"/>
              </w:rPr>
            </w:pPr>
            <w:r>
              <w:rPr>
                <w:rFonts w:eastAsia="仿宋_GB2312"/>
                <w:color w:val="000000"/>
                <w:kern w:val="0"/>
                <w:sz w:val="24"/>
              </w:rPr>
              <w:t>涉及的生产系统和岗位（环节）</w:t>
            </w:r>
          </w:p>
        </w:tc>
        <w:tc>
          <w:tcPr>
            <w:tcW w:w="2281" w:type="pct"/>
            <w:gridSpan w:val="4"/>
            <w:noWrap/>
            <w:vAlign w:val="center"/>
          </w:tcPr>
          <w:p w:rsidR="00363CC0" w:rsidRDefault="00363CC0">
            <w:pPr>
              <w:adjustRightInd w:val="0"/>
              <w:snapToGrid w:val="0"/>
              <w:jc w:val="left"/>
              <w:textAlignment w:val="baseline"/>
              <w:rPr>
                <w:rFonts w:eastAsia="仿宋_GB2312"/>
                <w:color w:val="000000"/>
                <w:kern w:val="0"/>
                <w:sz w:val="24"/>
              </w:rPr>
            </w:pPr>
          </w:p>
        </w:tc>
      </w:tr>
      <w:tr w:rsidR="00363CC0">
        <w:trPr>
          <w:trHeight w:val="611"/>
          <w:jc w:val="center"/>
        </w:trPr>
        <w:tc>
          <w:tcPr>
            <w:tcW w:w="5000" w:type="pct"/>
            <w:gridSpan w:val="12"/>
            <w:vAlign w:val="center"/>
          </w:tcPr>
          <w:p w:rsidR="00363CC0" w:rsidRDefault="00F24112">
            <w:pPr>
              <w:adjustRightInd w:val="0"/>
              <w:snapToGrid w:val="0"/>
              <w:jc w:val="center"/>
              <w:textAlignment w:val="baseline"/>
              <w:rPr>
                <w:rFonts w:eastAsia="仿宋_GB2312"/>
                <w:kern w:val="0"/>
                <w:sz w:val="24"/>
              </w:rPr>
            </w:pPr>
            <w:r>
              <w:rPr>
                <w:rFonts w:eastAsia="仿宋_GB2312"/>
                <w:kern w:val="0"/>
                <w:sz w:val="24"/>
              </w:rPr>
              <w:t>8.</w:t>
            </w:r>
            <w:r>
              <w:rPr>
                <w:rFonts w:eastAsia="仿宋_GB2312"/>
                <w:kern w:val="0"/>
                <w:sz w:val="24"/>
              </w:rPr>
              <w:t>隐患排查情况</w:t>
            </w:r>
          </w:p>
        </w:tc>
      </w:tr>
      <w:tr w:rsidR="00363CC0">
        <w:trPr>
          <w:trHeight w:val="312"/>
          <w:jc w:val="center"/>
        </w:trPr>
        <w:tc>
          <w:tcPr>
            <w:tcW w:w="5000" w:type="pct"/>
            <w:gridSpan w:val="12"/>
            <w:vMerge w:val="restart"/>
            <w:vAlign w:val="center"/>
          </w:tcPr>
          <w:p w:rsidR="00363CC0" w:rsidRDefault="00F24112">
            <w:pPr>
              <w:adjustRightInd w:val="0"/>
              <w:snapToGrid w:val="0"/>
              <w:jc w:val="left"/>
              <w:textAlignment w:val="baseline"/>
              <w:rPr>
                <w:rFonts w:eastAsia="仿宋_GB2312"/>
                <w:kern w:val="0"/>
                <w:sz w:val="24"/>
              </w:rPr>
            </w:pPr>
            <w:r>
              <w:rPr>
                <w:rFonts w:eastAsia="仿宋_GB2312"/>
                <w:kern w:val="0"/>
                <w:sz w:val="24"/>
              </w:rPr>
              <w:t>（描述企业近一年隐患排查治理情况）</w:t>
            </w:r>
          </w:p>
        </w:tc>
      </w:tr>
      <w:tr w:rsidR="00363CC0">
        <w:trPr>
          <w:trHeight w:val="312"/>
          <w:jc w:val="center"/>
        </w:trPr>
        <w:tc>
          <w:tcPr>
            <w:tcW w:w="5000" w:type="pct"/>
            <w:gridSpan w:val="12"/>
            <w:vMerge/>
            <w:vAlign w:val="center"/>
          </w:tcPr>
          <w:p w:rsidR="00363CC0" w:rsidRDefault="00363CC0">
            <w:pPr>
              <w:adjustRightInd w:val="0"/>
              <w:snapToGrid w:val="0"/>
              <w:jc w:val="left"/>
              <w:textAlignment w:val="baseline"/>
              <w:rPr>
                <w:rFonts w:eastAsia="仿宋_GB2312"/>
                <w:kern w:val="0"/>
                <w:sz w:val="24"/>
              </w:rPr>
            </w:pPr>
          </w:p>
        </w:tc>
      </w:tr>
      <w:tr w:rsidR="00363CC0">
        <w:trPr>
          <w:trHeight w:val="312"/>
          <w:jc w:val="center"/>
        </w:trPr>
        <w:tc>
          <w:tcPr>
            <w:tcW w:w="5000" w:type="pct"/>
            <w:gridSpan w:val="12"/>
            <w:vMerge/>
            <w:vAlign w:val="center"/>
          </w:tcPr>
          <w:p w:rsidR="00363CC0" w:rsidRDefault="00363CC0">
            <w:pPr>
              <w:adjustRightInd w:val="0"/>
              <w:snapToGrid w:val="0"/>
              <w:jc w:val="left"/>
              <w:textAlignment w:val="baseline"/>
              <w:rPr>
                <w:rFonts w:eastAsia="仿宋_GB2312"/>
                <w:kern w:val="0"/>
                <w:sz w:val="24"/>
              </w:rPr>
            </w:pPr>
          </w:p>
        </w:tc>
      </w:tr>
      <w:tr w:rsidR="00363CC0">
        <w:trPr>
          <w:trHeight w:val="312"/>
          <w:jc w:val="center"/>
        </w:trPr>
        <w:tc>
          <w:tcPr>
            <w:tcW w:w="5000" w:type="pct"/>
            <w:gridSpan w:val="12"/>
            <w:vMerge/>
            <w:vAlign w:val="center"/>
          </w:tcPr>
          <w:p w:rsidR="00363CC0" w:rsidRDefault="00363CC0">
            <w:pPr>
              <w:adjustRightInd w:val="0"/>
              <w:snapToGrid w:val="0"/>
              <w:jc w:val="left"/>
              <w:textAlignment w:val="baseline"/>
              <w:rPr>
                <w:rFonts w:eastAsia="仿宋_GB2312"/>
                <w:kern w:val="0"/>
                <w:sz w:val="24"/>
              </w:rPr>
            </w:pPr>
          </w:p>
        </w:tc>
      </w:tr>
      <w:tr w:rsidR="00363CC0">
        <w:trPr>
          <w:trHeight w:val="518"/>
          <w:jc w:val="center"/>
        </w:trPr>
        <w:tc>
          <w:tcPr>
            <w:tcW w:w="5000" w:type="pct"/>
            <w:gridSpan w:val="12"/>
            <w:vAlign w:val="center"/>
          </w:tcPr>
          <w:p w:rsidR="00363CC0" w:rsidRDefault="00F24112">
            <w:pPr>
              <w:adjustRightInd w:val="0"/>
              <w:snapToGrid w:val="0"/>
              <w:jc w:val="center"/>
              <w:textAlignment w:val="baseline"/>
              <w:rPr>
                <w:rFonts w:eastAsia="仿宋_GB2312"/>
                <w:kern w:val="0"/>
                <w:sz w:val="24"/>
              </w:rPr>
            </w:pPr>
            <w:r>
              <w:rPr>
                <w:rFonts w:eastAsia="仿宋_GB2312"/>
                <w:kern w:val="0"/>
                <w:sz w:val="24"/>
              </w:rPr>
              <w:t>9</w:t>
            </w:r>
            <w:r>
              <w:rPr>
                <w:rFonts w:eastAsia="仿宋_GB2312"/>
                <w:kern w:val="0"/>
                <w:sz w:val="24"/>
              </w:rPr>
              <w:t>．应急管理</w:t>
            </w:r>
          </w:p>
        </w:tc>
      </w:tr>
      <w:tr w:rsidR="00363CC0">
        <w:trPr>
          <w:trHeight w:val="312"/>
          <w:jc w:val="center"/>
        </w:trPr>
        <w:tc>
          <w:tcPr>
            <w:tcW w:w="5000" w:type="pct"/>
            <w:gridSpan w:val="12"/>
            <w:vMerge w:val="restart"/>
            <w:vAlign w:val="center"/>
          </w:tcPr>
          <w:p w:rsidR="00363CC0" w:rsidRDefault="00F24112">
            <w:pPr>
              <w:adjustRightInd w:val="0"/>
              <w:snapToGrid w:val="0"/>
              <w:textAlignment w:val="baseline"/>
              <w:rPr>
                <w:rFonts w:eastAsia="仿宋_GB2312"/>
                <w:kern w:val="0"/>
                <w:sz w:val="24"/>
              </w:rPr>
            </w:pPr>
            <w:r>
              <w:rPr>
                <w:rFonts w:eastAsia="仿宋_GB2312"/>
                <w:color w:val="000000"/>
                <w:kern w:val="0"/>
                <w:sz w:val="24"/>
              </w:rPr>
              <w:t>（描述应急救援人员及设备情况）</w:t>
            </w:r>
          </w:p>
        </w:tc>
      </w:tr>
      <w:tr w:rsidR="00363CC0">
        <w:trPr>
          <w:trHeight w:val="312"/>
          <w:jc w:val="center"/>
        </w:trPr>
        <w:tc>
          <w:tcPr>
            <w:tcW w:w="5000" w:type="pct"/>
            <w:gridSpan w:val="12"/>
            <w:vMerge/>
            <w:vAlign w:val="center"/>
          </w:tcPr>
          <w:p w:rsidR="00363CC0" w:rsidRDefault="00363CC0">
            <w:pPr>
              <w:adjustRightInd w:val="0"/>
              <w:snapToGrid w:val="0"/>
              <w:jc w:val="left"/>
              <w:textAlignment w:val="baseline"/>
              <w:rPr>
                <w:rFonts w:eastAsia="仿宋_GB2312"/>
                <w:kern w:val="0"/>
                <w:sz w:val="24"/>
              </w:rPr>
            </w:pPr>
          </w:p>
        </w:tc>
      </w:tr>
      <w:tr w:rsidR="00363CC0">
        <w:trPr>
          <w:trHeight w:val="312"/>
          <w:jc w:val="center"/>
        </w:trPr>
        <w:tc>
          <w:tcPr>
            <w:tcW w:w="5000" w:type="pct"/>
            <w:gridSpan w:val="12"/>
            <w:vMerge/>
            <w:vAlign w:val="center"/>
          </w:tcPr>
          <w:p w:rsidR="00363CC0" w:rsidRDefault="00363CC0">
            <w:pPr>
              <w:adjustRightInd w:val="0"/>
              <w:snapToGrid w:val="0"/>
              <w:jc w:val="left"/>
              <w:textAlignment w:val="baseline"/>
              <w:rPr>
                <w:rFonts w:eastAsia="仿宋_GB2312"/>
                <w:kern w:val="0"/>
                <w:sz w:val="24"/>
              </w:rPr>
            </w:pPr>
          </w:p>
        </w:tc>
      </w:tr>
      <w:tr w:rsidR="00363CC0">
        <w:trPr>
          <w:trHeight w:val="439"/>
          <w:jc w:val="center"/>
        </w:trPr>
        <w:tc>
          <w:tcPr>
            <w:tcW w:w="5000" w:type="pct"/>
            <w:gridSpan w:val="12"/>
            <w:vMerge/>
            <w:vAlign w:val="center"/>
          </w:tcPr>
          <w:p w:rsidR="00363CC0" w:rsidRDefault="00363CC0">
            <w:pPr>
              <w:adjustRightInd w:val="0"/>
              <w:snapToGrid w:val="0"/>
              <w:jc w:val="left"/>
              <w:textAlignment w:val="baseline"/>
              <w:rPr>
                <w:rFonts w:eastAsia="仿宋_GB2312"/>
                <w:kern w:val="0"/>
                <w:sz w:val="24"/>
              </w:rPr>
            </w:pPr>
          </w:p>
        </w:tc>
      </w:tr>
      <w:tr w:rsidR="00363CC0">
        <w:trPr>
          <w:trHeight w:val="571"/>
          <w:jc w:val="center"/>
        </w:trPr>
        <w:tc>
          <w:tcPr>
            <w:tcW w:w="5000" w:type="pct"/>
            <w:gridSpan w:val="12"/>
            <w:vAlign w:val="center"/>
          </w:tcPr>
          <w:p w:rsidR="00363CC0" w:rsidRDefault="00F24112">
            <w:pPr>
              <w:adjustRightInd w:val="0"/>
              <w:snapToGrid w:val="0"/>
              <w:jc w:val="center"/>
              <w:textAlignment w:val="baseline"/>
              <w:rPr>
                <w:rFonts w:eastAsia="仿宋_GB2312"/>
                <w:kern w:val="0"/>
                <w:sz w:val="24"/>
              </w:rPr>
            </w:pPr>
            <w:r>
              <w:rPr>
                <w:rFonts w:eastAsia="仿宋_GB2312"/>
                <w:color w:val="000000"/>
                <w:kern w:val="0"/>
                <w:sz w:val="24"/>
              </w:rPr>
              <w:t>10</w:t>
            </w:r>
            <w:r>
              <w:rPr>
                <w:rFonts w:eastAsia="仿宋_GB2312"/>
                <w:color w:val="000000"/>
                <w:kern w:val="0"/>
                <w:sz w:val="24"/>
              </w:rPr>
              <w:t>．生产安全事故情况</w:t>
            </w:r>
          </w:p>
        </w:tc>
      </w:tr>
      <w:tr w:rsidR="00363CC0">
        <w:trPr>
          <w:trHeight w:val="1628"/>
          <w:jc w:val="center"/>
        </w:trPr>
        <w:tc>
          <w:tcPr>
            <w:tcW w:w="5000" w:type="pct"/>
            <w:gridSpan w:val="12"/>
            <w:vAlign w:val="center"/>
          </w:tcPr>
          <w:p w:rsidR="00363CC0" w:rsidRDefault="00F24112">
            <w:pPr>
              <w:adjustRightInd w:val="0"/>
              <w:snapToGrid w:val="0"/>
              <w:jc w:val="left"/>
              <w:textAlignment w:val="baseline"/>
              <w:rPr>
                <w:rFonts w:eastAsia="仿宋_GB2312"/>
                <w:color w:val="000000"/>
                <w:kern w:val="0"/>
                <w:sz w:val="24"/>
              </w:rPr>
            </w:pPr>
            <w:r>
              <w:rPr>
                <w:rFonts w:eastAsia="仿宋_GB2312"/>
                <w:kern w:val="0"/>
                <w:sz w:val="24"/>
              </w:rPr>
              <w:t>（描述建矿以来生产安全事故发生经过、原因、后果及其预防对策措施）</w:t>
            </w:r>
          </w:p>
        </w:tc>
      </w:tr>
      <w:tr w:rsidR="00363CC0">
        <w:trPr>
          <w:trHeight w:val="739"/>
          <w:jc w:val="center"/>
        </w:trPr>
        <w:tc>
          <w:tcPr>
            <w:tcW w:w="1311" w:type="pct"/>
            <w:gridSpan w:val="3"/>
            <w:vAlign w:val="center"/>
          </w:tcPr>
          <w:p w:rsidR="00363CC0" w:rsidRDefault="00F24112">
            <w:pPr>
              <w:adjustRightInd w:val="0"/>
              <w:snapToGrid w:val="0"/>
              <w:jc w:val="left"/>
              <w:textAlignment w:val="baseline"/>
              <w:rPr>
                <w:rFonts w:eastAsia="仿宋_GB2312"/>
                <w:kern w:val="0"/>
                <w:sz w:val="24"/>
              </w:rPr>
            </w:pPr>
            <w:r>
              <w:rPr>
                <w:rFonts w:eastAsia="仿宋_GB2312"/>
                <w:kern w:val="0"/>
                <w:sz w:val="24"/>
              </w:rPr>
              <w:t>企业自评风险等级</w:t>
            </w:r>
          </w:p>
        </w:tc>
        <w:tc>
          <w:tcPr>
            <w:tcW w:w="3689" w:type="pct"/>
            <w:gridSpan w:val="9"/>
            <w:vAlign w:val="center"/>
          </w:tcPr>
          <w:p w:rsidR="00363CC0" w:rsidRDefault="00363CC0">
            <w:pPr>
              <w:adjustRightInd w:val="0"/>
              <w:snapToGrid w:val="0"/>
              <w:jc w:val="left"/>
              <w:textAlignment w:val="baseline"/>
              <w:rPr>
                <w:rFonts w:eastAsia="仿宋_GB2312"/>
                <w:kern w:val="0"/>
                <w:sz w:val="24"/>
              </w:rPr>
            </w:pPr>
          </w:p>
        </w:tc>
      </w:tr>
    </w:tbl>
    <w:p w:rsidR="00363CC0" w:rsidRDefault="00363CC0">
      <w:pPr>
        <w:adjustRightInd w:val="0"/>
        <w:snapToGrid w:val="0"/>
        <w:jc w:val="left"/>
        <w:textAlignment w:val="baseline"/>
        <w:rPr>
          <w:b/>
          <w:i/>
          <w:caps/>
        </w:rPr>
        <w:sectPr w:rsidR="00363CC0">
          <w:pgSz w:w="11906" w:h="16838"/>
          <w:pgMar w:top="2098" w:right="1474" w:bottom="1984" w:left="1587" w:header="851" w:footer="992" w:gutter="0"/>
          <w:pgNumType w:fmt="numberInDash"/>
          <w:cols w:space="720"/>
          <w:docGrid w:linePitch="312"/>
        </w:sectPr>
      </w:pPr>
    </w:p>
    <w:p w:rsidR="00363CC0" w:rsidRDefault="00F24112">
      <w:pPr>
        <w:adjustRightInd w:val="0"/>
        <w:snapToGrid w:val="0"/>
        <w:jc w:val="left"/>
        <w:textAlignment w:val="baseline"/>
        <w:rPr>
          <w:rFonts w:eastAsia="黑体"/>
          <w:sz w:val="32"/>
          <w:szCs w:val="32"/>
        </w:rPr>
      </w:pPr>
      <w:r>
        <w:rPr>
          <w:rFonts w:eastAsia="黑体"/>
          <w:sz w:val="32"/>
          <w:szCs w:val="32"/>
        </w:rPr>
        <w:lastRenderedPageBreak/>
        <w:t>附件</w:t>
      </w:r>
      <w:r>
        <w:rPr>
          <w:rFonts w:eastAsia="黑体"/>
          <w:sz w:val="32"/>
          <w:szCs w:val="32"/>
        </w:rPr>
        <w:t xml:space="preserve">3 </w:t>
      </w:r>
    </w:p>
    <w:p w:rsidR="00363CC0" w:rsidRDefault="00363CC0"/>
    <w:p w:rsidR="00363CC0" w:rsidRDefault="00F24112">
      <w:pPr>
        <w:adjustRightInd w:val="0"/>
        <w:snapToGrid w:val="0"/>
        <w:jc w:val="center"/>
        <w:textAlignment w:val="baseline"/>
        <w:rPr>
          <w:rFonts w:eastAsia="方正小标宋简体"/>
          <w:bCs/>
          <w:kern w:val="0"/>
          <w:sz w:val="44"/>
          <w:szCs w:val="44"/>
        </w:rPr>
      </w:pPr>
      <w:r>
        <w:rPr>
          <w:rFonts w:eastAsia="方正小标宋简体"/>
          <w:bCs/>
          <w:kern w:val="0"/>
          <w:sz w:val="44"/>
          <w:szCs w:val="44"/>
        </w:rPr>
        <w:t>非煤矿山企业重大隐患清单</w:t>
      </w:r>
    </w:p>
    <w:p w:rsidR="00363CC0" w:rsidRDefault="00363CC0">
      <w:pPr>
        <w:adjustRightInd w:val="0"/>
        <w:snapToGrid w:val="0"/>
        <w:jc w:val="center"/>
        <w:textAlignment w:val="baseline"/>
        <w:rPr>
          <w:rFonts w:eastAsia="方正小标宋简体"/>
          <w:sz w:val="36"/>
          <w:szCs w:val="36"/>
        </w:rPr>
      </w:pPr>
    </w:p>
    <w:p w:rsidR="00363CC0" w:rsidRDefault="00F24112">
      <w:pPr>
        <w:adjustRightInd w:val="0"/>
        <w:snapToGrid w:val="0"/>
        <w:spacing w:line="400" w:lineRule="exact"/>
        <w:jc w:val="left"/>
        <w:textAlignment w:val="baseline"/>
        <w:rPr>
          <w:rFonts w:eastAsia="仿宋_GB2312"/>
          <w:sz w:val="28"/>
          <w:szCs w:val="28"/>
        </w:rPr>
      </w:pPr>
      <w:r>
        <w:rPr>
          <w:rFonts w:eastAsia="仿宋_GB2312"/>
          <w:sz w:val="28"/>
          <w:szCs w:val="28"/>
        </w:rPr>
        <w:t>市州：</w:t>
      </w:r>
      <w:r>
        <w:rPr>
          <w:rFonts w:eastAsia="仿宋_GB2312"/>
          <w:sz w:val="28"/>
          <w:szCs w:val="28"/>
        </w:rPr>
        <w:t xml:space="preserve">                                               </w:t>
      </w:r>
      <w:r>
        <w:rPr>
          <w:rFonts w:eastAsia="仿宋_GB2312"/>
          <w:sz w:val="28"/>
          <w:szCs w:val="28"/>
        </w:rPr>
        <w:t>填报时间：</w:t>
      </w:r>
    </w:p>
    <w:tbl>
      <w:tblPr>
        <w:tblW w:w="14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327"/>
        <w:gridCol w:w="3288"/>
        <w:gridCol w:w="960"/>
        <w:gridCol w:w="1574"/>
        <w:gridCol w:w="3173"/>
        <w:gridCol w:w="1418"/>
        <w:gridCol w:w="865"/>
      </w:tblGrid>
      <w:tr w:rsidR="00363CC0">
        <w:trPr>
          <w:jc w:val="center"/>
        </w:trPr>
        <w:tc>
          <w:tcPr>
            <w:tcW w:w="518" w:type="dxa"/>
            <w:vAlign w:val="center"/>
          </w:tcPr>
          <w:p w:rsidR="00363CC0" w:rsidRDefault="00F24112">
            <w:pPr>
              <w:adjustRightInd w:val="0"/>
              <w:snapToGrid w:val="0"/>
              <w:spacing w:line="360" w:lineRule="exact"/>
              <w:jc w:val="center"/>
              <w:textAlignment w:val="baseline"/>
              <w:rPr>
                <w:rFonts w:eastAsia="仿宋_GB2312"/>
                <w:b/>
                <w:bCs/>
                <w:sz w:val="28"/>
                <w:szCs w:val="28"/>
              </w:rPr>
            </w:pPr>
            <w:r>
              <w:rPr>
                <w:rFonts w:eastAsia="仿宋_GB2312"/>
                <w:b/>
                <w:bCs/>
                <w:sz w:val="28"/>
                <w:szCs w:val="28"/>
              </w:rPr>
              <w:t>序号</w:t>
            </w:r>
          </w:p>
        </w:tc>
        <w:tc>
          <w:tcPr>
            <w:tcW w:w="2327" w:type="dxa"/>
            <w:vAlign w:val="center"/>
          </w:tcPr>
          <w:p w:rsidR="00363CC0" w:rsidRDefault="00F24112">
            <w:pPr>
              <w:adjustRightInd w:val="0"/>
              <w:snapToGrid w:val="0"/>
              <w:spacing w:line="360" w:lineRule="exact"/>
              <w:jc w:val="center"/>
              <w:textAlignment w:val="baseline"/>
              <w:rPr>
                <w:rFonts w:eastAsia="仿宋_GB2312"/>
                <w:b/>
                <w:bCs/>
                <w:sz w:val="28"/>
                <w:szCs w:val="28"/>
              </w:rPr>
            </w:pPr>
            <w:r>
              <w:rPr>
                <w:rFonts w:eastAsia="仿宋_GB2312"/>
                <w:b/>
                <w:bCs/>
                <w:sz w:val="28"/>
                <w:szCs w:val="28"/>
              </w:rPr>
              <w:t>企业名称</w:t>
            </w:r>
          </w:p>
        </w:tc>
        <w:tc>
          <w:tcPr>
            <w:tcW w:w="3288" w:type="dxa"/>
            <w:vAlign w:val="center"/>
          </w:tcPr>
          <w:p w:rsidR="00363CC0" w:rsidRDefault="00F24112">
            <w:pPr>
              <w:adjustRightInd w:val="0"/>
              <w:snapToGrid w:val="0"/>
              <w:spacing w:line="360" w:lineRule="exact"/>
              <w:jc w:val="center"/>
              <w:textAlignment w:val="baseline"/>
              <w:rPr>
                <w:rFonts w:eastAsia="仿宋_GB2312"/>
                <w:b/>
                <w:bCs/>
                <w:sz w:val="28"/>
                <w:szCs w:val="28"/>
              </w:rPr>
            </w:pPr>
            <w:r>
              <w:rPr>
                <w:rFonts w:eastAsia="仿宋_GB2312"/>
                <w:b/>
                <w:bCs/>
                <w:sz w:val="28"/>
                <w:szCs w:val="28"/>
              </w:rPr>
              <w:t>重大隐患描述</w:t>
            </w:r>
          </w:p>
        </w:tc>
        <w:tc>
          <w:tcPr>
            <w:tcW w:w="960" w:type="dxa"/>
            <w:vAlign w:val="center"/>
          </w:tcPr>
          <w:p w:rsidR="00363CC0" w:rsidRDefault="00F24112">
            <w:pPr>
              <w:adjustRightInd w:val="0"/>
              <w:snapToGrid w:val="0"/>
              <w:spacing w:line="360" w:lineRule="exact"/>
              <w:jc w:val="center"/>
              <w:textAlignment w:val="baseline"/>
              <w:rPr>
                <w:rFonts w:eastAsia="仿宋_GB2312"/>
                <w:b/>
                <w:bCs/>
                <w:sz w:val="28"/>
                <w:szCs w:val="28"/>
              </w:rPr>
            </w:pPr>
            <w:r>
              <w:rPr>
                <w:rFonts w:eastAsia="仿宋_GB2312"/>
                <w:b/>
                <w:bCs/>
                <w:sz w:val="28"/>
                <w:szCs w:val="28"/>
              </w:rPr>
              <w:t>来源</w:t>
            </w:r>
          </w:p>
        </w:tc>
        <w:tc>
          <w:tcPr>
            <w:tcW w:w="1574" w:type="dxa"/>
            <w:vAlign w:val="center"/>
          </w:tcPr>
          <w:p w:rsidR="00363CC0" w:rsidRDefault="00F24112">
            <w:pPr>
              <w:adjustRightInd w:val="0"/>
              <w:snapToGrid w:val="0"/>
              <w:spacing w:line="360" w:lineRule="exact"/>
              <w:jc w:val="center"/>
              <w:textAlignment w:val="baseline"/>
              <w:rPr>
                <w:rFonts w:eastAsia="仿宋_GB2312"/>
                <w:b/>
                <w:bCs/>
                <w:sz w:val="28"/>
                <w:szCs w:val="28"/>
              </w:rPr>
            </w:pPr>
            <w:r>
              <w:rPr>
                <w:rFonts w:eastAsia="仿宋_GB2312"/>
                <w:b/>
                <w:bCs/>
                <w:sz w:val="28"/>
                <w:szCs w:val="28"/>
              </w:rPr>
              <w:t>整改时限</w:t>
            </w:r>
          </w:p>
        </w:tc>
        <w:tc>
          <w:tcPr>
            <w:tcW w:w="3173" w:type="dxa"/>
            <w:vAlign w:val="center"/>
          </w:tcPr>
          <w:p w:rsidR="00363CC0" w:rsidRDefault="00F24112">
            <w:pPr>
              <w:adjustRightInd w:val="0"/>
              <w:snapToGrid w:val="0"/>
              <w:spacing w:line="360" w:lineRule="exact"/>
              <w:jc w:val="center"/>
              <w:textAlignment w:val="baseline"/>
              <w:rPr>
                <w:rFonts w:eastAsia="仿宋_GB2312"/>
                <w:b/>
                <w:bCs/>
                <w:sz w:val="28"/>
                <w:szCs w:val="28"/>
              </w:rPr>
            </w:pPr>
            <w:r>
              <w:rPr>
                <w:rFonts w:eastAsia="仿宋_GB2312"/>
                <w:b/>
                <w:bCs/>
                <w:sz w:val="28"/>
                <w:szCs w:val="28"/>
              </w:rPr>
              <w:t>整改情况（</w:t>
            </w:r>
            <w:proofErr w:type="gramStart"/>
            <w:r>
              <w:rPr>
                <w:rFonts w:eastAsia="仿宋_GB2312"/>
                <w:b/>
                <w:bCs/>
                <w:sz w:val="28"/>
                <w:szCs w:val="28"/>
              </w:rPr>
              <w:t>含处罚</w:t>
            </w:r>
            <w:proofErr w:type="gramEnd"/>
            <w:r>
              <w:rPr>
                <w:rFonts w:eastAsia="仿宋_GB2312"/>
                <w:b/>
                <w:bCs/>
                <w:sz w:val="28"/>
                <w:szCs w:val="28"/>
              </w:rPr>
              <w:t>情况）</w:t>
            </w:r>
          </w:p>
        </w:tc>
        <w:tc>
          <w:tcPr>
            <w:tcW w:w="1418" w:type="dxa"/>
            <w:vAlign w:val="center"/>
          </w:tcPr>
          <w:p w:rsidR="00363CC0" w:rsidRDefault="00F24112">
            <w:pPr>
              <w:adjustRightInd w:val="0"/>
              <w:snapToGrid w:val="0"/>
              <w:spacing w:line="360" w:lineRule="exact"/>
              <w:jc w:val="center"/>
              <w:textAlignment w:val="baseline"/>
              <w:rPr>
                <w:rFonts w:eastAsia="仿宋_GB2312"/>
                <w:b/>
                <w:bCs/>
                <w:sz w:val="28"/>
                <w:szCs w:val="28"/>
              </w:rPr>
            </w:pPr>
            <w:r>
              <w:rPr>
                <w:rFonts w:eastAsia="仿宋_GB2312"/>
                <w:b/>
                <w:bCs/>
                <w:sz w:val="28"/>
                <w:szCs w:val="28"/>
              </w:rPr>
              <w:t>复查或反馈单位</w:t>
            </w:r>
          </w:p>
        </w:tc>
        <w:tc>
          <w:tcPr>
            <w:tcW w:w="865" w:type="dxa"/>
            <w:vAlign w:val="center"/>
          </w:tcPr>
          <w:p w:rsidR="00363CC0" w:rsidRDefault="00F24112">
            <w:pPr>
              <w:adjustRightInd w:val="0"/>
              <w:snapToGrid w:val="0"/>
              <w:spacing w:line="360" w:lineRule="exact"/>
              <w:jc w:val="center"/>
              <w:textAlignment w:val="baseline"/>
              <w:rPr>
                <w:rFonts w:eastAsia="仿宋_GB2312"/>
                <w:b/>
                <w:bCs/>
                <w:sz w:val="28"/>
                <w:szCs w:val="28"/>
              </w:rPr>
            </w:pPr>
            <w:r>
              <w:rPr>
                <w:rFonts w:eastAsia="仿宋_GB2312"/>
                <w:b/>
                <w:bCs/>
                <w:sz w:val="28"/>
                <w:szCs w:val="28"/>
              </w:rPr>
              <w:t>是否销号</w:t>
            </w:r>
          </w:p>
        </w:tc>
      </w:tr>
      <w:tr w:rsidR="00363CC0">
        <w:trPr>
          <w:jc w:val="center"/>
        </w:trPr>
        <w:tc>
          <w:tcPr>
            <w:tcW w:w="518" w:type="dxa"/>
          </w:tcPr>
          <w:p w:rsidR="00363CC0" w:rsidRDefault="00363CC0">
            <w:pPr>
              <w:adjustRightInd w:val="0"/>
              <w:snapToGrid w:val="0"/>
              <w:jc w:val="left"/>
              <w:textAlignment w:val="baseline"/>
              <w:rPr>
                <w:rFonts w:eastAsia="仿宋_GB2312"/>
                <w:sz w:val="32"/>
                <w:szCs w:val="32"/>
              </w:rPr>
            </w:pPr>
          </w:p>
        </w:tc>
        <w:tc>
          <w:tcPr>
            <w:tcW w:w="2327" w:type="dxa"/>
          </w:tcPr>
          <w:p w:rsidR="00363CC0" w:rsidRDefault="00363CC0">
            <w:pPr>
              <w:adjustRightInd w:val="0"/>
              <w:snapToGrid w:val="0"/>
              <w:jc w:val="left"/>
              <w:textAlignment w:val="baseline"/>
              <w:rPr>
                <w:rFonts w:eastAsia="仿宋_GB2312"/>
                <w:sz w:val="32"/>
                <w:szCs w:val="32"/>
              </w:rPr>
            </w:pPr>
          </w:p>
        </w:tc>
        <w:tc>
          <w:tcPr>
            <w:tcW w:w="3288" w:type="dxa"/>
          </w:tcPr>
          <w:p w:rsidR="00363CC0" w:rsidRDefault="00363CC0">
            <w:pPr>
              <w:adjustRightInd w:val="0"/>
              <w:snapToGrid w:val="0"/>
              <w:jc w:val="left"/>
              <w:textAlignment w:val="baseline"/>
              <w:rPr>
                <w:rFonts w:eastAsia="仿宋_GB2312"/>
                <w:sz w:val="32"/>
                <w:szCs w:val="32"/>
              </w:rPr>
            </w:pPr>
          </w:p>
        </w:tc>
        <w:tc>
          <w:tcPr>
            <w:tcW w:w="960" w:type="dxa"/>
          </w:tcPr>
          <w:p w:rsidR="00363CC0" w:rsidRDefault="00363CC0">
            <w:pPr>
              <w:adjustRightInd w:val="0"/>
              <w:snapToGrid w:val="0"/>
              <w:jc w:val="left"/>
              <w:textAlignment w:val="baseline"/>
              <w:rPr>
                <w:rFonts w:eastAsia="仿宋_GB2312"/>
                <w:sz w:val="32"/>
                <w:szCs w:val="32"/>
              </w:rPr>
            </w:pPr>
          </w:p>
        </w:tc>
        <w:tc>
          <w:tcPr>
            <w:tcW w:w="1574" w:type="dxa"/>
          </w:tcPr>
          <w:p w:rsidR="00363CC0" w:rsidRDefault="00363CC0">
            <w:pPr>
              <w:adjustRightInd w:val="0"/>
              <w:snapToGrid w:val="0"/>
              <w:jc w:val="left"/>
              <w:textAlignment w:val="baseline"/>
              <w:rPr>
                <w:rFonts w:eastAsia="仿宋_GB2312"/>
                <w:sz w:val="32"/>
                <w:szCs w:val="32"/>
              </w:rPr>
            </w:pPr>
          </w:p>
        </w:tc>
        <w:tc>
          <w:tcPr>
            <w:tcW w:w="3173" w:type="dxa"/>
          </w:tcPr>
          <w:p w:rsidR="00363CC0" w:rsidRDefault="00363CC0">
            <w:pPr>
              <w:adjustRightInd w:val="0"/>
              <w:snapToGrid w:val="0"/>
              <w:jc w:val="left"/>
              <w:textAlignment w:val="baseline"/>
              <w:rPr>
                <w:rFonts w:eastAsia="仿宋_GB2312"/>
                <w:sz w:val="32"/>
                <w:szCs w:val="32"/>
              </w:rPr>
            </w:pPr>
          </w:p>
        </w:tc>
        <w:tc>
          <w:tcPr>
            <w:tcW w:w="1418" w:type="dxa"/>
          </w:tcPr>
          <w:p w:rsidR="00363CC0" w:rsidRDefault="00363CC0">
            <w:pPr>
              <w:adjustRightInd w:val="0"/>
              <w:snapToGrid w:val="0"/>
              <w:jc w:val="left"/>
              <w:textAlignment w:val="baseline"/>
              <w:rPr>
                <w:rFonts w:eastAsia="仿宋_GB2312"/>
                <w:sz w:val="32"/>
                <w:szCs w:val="32"/>
              </w:rPr>
            </w:pPr>
          </w:p>
        </w:tc>
        <w:tc>
          <w:tcPr>
            <w:tcW w:w="865" w:type="dxa"/>
          </w:tcPr>
          <w:p w:rsidR="00363CC0" w:rsidRDefault="00363CC0">
            <w:pPr>
              <w:adjustRightInd w:val="0"/>
              <w:snapToGrid w:val="0"/>
              <w:jc w:val="left"/>
              <w:textAlignment w:val="baseline"/>
              <w:rPr>
                <w:rFonts w:eastAsia="仿宋_GB2312"/>
                <w:sz w:val="32"/>
                <w:szCs w:val="32"/>
              </w:rPr>
            </w:pPr>
          </w:p>
        </w:tc>
      </w:tr>
      <w:tr w:rsidR="00363CC0">
        <w:trPr>
          <w:jc w:val="center"/>
        </w:trPr>
        <w:tc>
          <w:tcPr>
            <w:tcW w:w="518" w:type="dxa"/>
          </w:tcPr>
          <w:p w:rsidR="00363CC0" w:rsidRDefault="00363CC0">
            <w:pPr>
              <w:adjustRightInd w:val="0"/>
              <w:snapToGrid w:val="0"/>
              <w:jc w:val="left"/>
              <w:textAlignment w:val="baseline"/>
              <w:rPr>
                <w:rFonts w:eastAsia="仿宋_GB2312"/>
                <w:sz w:val="32"/>
                <w:szCs w:val="32"/>
              </w:rPr>
            </w:pPr>
          </w:p>
        </w:tc>
        <w:tc>
          <w:tcPr>
            <w:tcW w:w="2327" w:type="dxa"/>
          </w:tcPr>
          <w:p w:rsidR="00363CC0" w:rsidRDefault="00363CC0">
            <w:pPr>
              <w:adjustRightInd w:val="0"/>
              <w:snapToGrid w:val="0"/>
              <w:jc w:val="left"/>
              <w:textAlignment w:val="baseline"/>
              <w:rPr>
                <w:rFonts w:eastAsia="仿宋_GB2312"/>
                <w:sz w:val="32"/>
                <w:szCs w:val="32"/>
              </w:rPr>
            </w:pPr>
          </w:p>
        </w:tc>
        <w:tc>
          <w:tcPr>
            <w:tcW w:w="3288" w:type="dxa"/>
          </w:tcPr>
          <w:p w:rsidR="00363CC0" w:rsidRDefault="00363CC0">
            <w:pPr>
              <w:adjustRightInd w:val="0"/>
              <w:snapToGrid w:val="0"/>
              <w:jc w:val="left"/>
              <w:textAlignment w:val="baseline"/>
              <w:rPr>
                <w:rFonts w:eastAsia="仿宋_GB2312"/>
                <w:sz w:val="32"/>
                <w:szCs w:val="32"/>
              </w:rPr>
            </w:pPr>
          </w:p>
        </w:tc>
        <w:tc>
          <w:tcPr>
            <w:tcW w:w="960" w:type="dxa"/>
          </w:tcPr>
          <w:p w:rsidR="00363CC0" w:rsidRDefault="00363CC0">
            <w:pPr>
              <w:adjustRightInd w:val="0"/>
              <w:snapToGrid w:val="0"/>
              <w:jc w:val="left"/>
              <w:textAlignment w:val="baseline"/>
              <w:rPr>
                <w:rFonts w:eastAsia="仿宋_GB2312"/>
                <w:sz w:val="32"/>
                <w:szCs w:val="32"/>
              </w:rPr>
            </w:pPr>
          </w:p>
        </w:tc>
        <w:tc>
          <w:tcPr>
            <w:tcW w:w="1574" w:type="dxa"/>
          </w:tcPr>
          <w:p w:rsidR="00363CC0" w:rsidRDefault="00363CC0">
            <w:pPr>
              <w:adjustRightInd w:val="0"/>
              <w:snapToGrid w:val="0"/>
              <w:jc w:val="left"/>
              <w:textAlignment w:val="baseline"/>
              <w:rPr>
                <w:rFonts w:eastAsia="仿宋_GB2312"/>
                <w:sz w:val="32"/>
                <w:szCs w:val="32"/>
              </w:rPr>
            </w:pPr>
          </w:p>
        </w:tc>
        <w:tc>
          <w:tcPr>
            <w:tcW w:w="3173" w:type="dxa"/>
          </w:tcPr>
          <w:p w:rsidR="00363CC0" w:rsidRDefault="00363CC0">
            <w:pPr>
              <w:adjustRightInd w:val="0"/>
              <w:snapToGrid w:val="0"/>
              <w:jc w:val="left"/>
              <w:textAlignment w:val="baseline"/>
              <w:rPr>
                <w:rFonts w:eastAsia="仿宋_GB2312"/>
                <w:sz w:val="32"/>
                <w:szCs w:val="32"/>
              </w:rPr>
            </w:pPr>
          </w:p>
        </w:tc>
        <w:tc>
          <w:tcPr>
            <w:tcW w:w="1418" w:type="dxa"/>
          </w:tcPr>
          <w:p w:rsidR="00363CC0" w:rsidRDefault="00363CC0">
            <w:pPr>
              <w:adjustRightInd w:val="0"/>
              <w:snapToGrid w:val="0"/>
              <w:jc w:val="left"/>
              <w:textAlignment w:val="baseline"/>
              <w:rPr>
                <w:rFonts w:eastAsia="仿宋_GB2312"/>
                <w:sz w:val="32"/>
                <w:szCs w:val="32"/>
              </w:rPr>
            </w:pPr>
          </w:p>
        </w:tc>
        <w:tc>
          <w:tcPr>
            <w:tcW w:w="865" w:type="dxa"/>
          </w:tcPr>
          <w:p w:rsidR="00363CC0" w:rsidRDefault="00363CC0">
            <w:pPr>
              <w:adjustRightInd w:val="0"/>
              <w:snapToGrid w:val="0"/>
              <w:jc w:val="left"/>
              <w:textAlignment w:val="baseline"/>
              <w:rPr>
                <w:rFonts w:eastAsia="仿宋_GB2312"/>
                <w:sz w:val="32"/>
                <w:szCs w:val="32"/>
              </w:rPr>
            </w:pPr>
          </w:p>
        </w:tc>
      </w:tr>
      <w:tr w:rsidR="00363CC0">
        <w:trPr>
          <w:jc w:val="center"/>
        </w:trPr>
        <w:tc>
          <w:tcPr>
            <w:tcW w:w="518" w:type="dxa"/>
          </w:tcPr>
          <w:p w:rsidR="00363CC0" w:rsidRDefault="00363CC0">
            <w:pPr>
              <w:adjustRightInd w:val="0"/>
              <w:snapToGrid w:val="0"/>
              <w:jc w:val="left"/>
              <w:textAlignment w:val="baseline"/>
              <w:rPr>
                <w:rFonts w:eastAsia="仿宋_GB2312"/>
                <w:sz w:val="32"/>
                <w:szCs w:val="32"/>
              </w:rPr>
            </w:pPr>
          </w:p>
        </w:tc>
        <w:tc>
          <w:tcPr>
            <w:tcW w:w="2327" w:type="dxa"/>
          </w:tcPr>
          <w:p w:rsidR="00363CC0" w:rsidRDefault="00363CC0">
            <w:pPr>
              <w:adjustRightInd w:val="0"/>
              <w:snapToGrid w:val="0"/>
              <w:jc w:val="left"/>
              <w:textAlignment w:val="baseline"/>
              <w:rPr>
                <w:rFonts w:eastAsia="仿宋_GB2312"/>
                <w:sz w:val="32"/>
                <w:szCs w:val="32"/>
              </w:rPr>
            </w:pPr>
          </w:p>
        </w:tc>
        <w:tc>
          <w:tcPr>
            <w:tcW w:w="3288" w:type="dxa"/>
          </w:tcPr>
          <w:p w:rsidR="00363CC0" w:rsidRDefault="00363CC0">
            <w:pPr>
              <w:adjustRightInd w:val="0"/>
              <w:snapToGrid w:val="0"/>
              <w:jc w:val="left"/>
              <w:textAlignment w:val="baseline"/>
              <w:rPr>
                <w:rFonts w:eastAsia="仿宋_GB2312"/>
                <w:sz w:val="32"/>
                <w:szCs w:val="32"/>
              </w:rPr>
            </w:pPr>
          </w:p>
        </w:tc>
        <w:tc>
          <w:tcPr>
            <w:tcW w:w="960" w:type="dxa"/>
          </w:tcPr>
          <w:p w:rsidR="00363CC0" w:rsidRDefault="00363CC0">
            <w:pPr>
              <w:adjustRightInd w:val="0"/>
              <w:snapToGrid w:val="0"/>
              <w:jc w:val="left"/>
              <w:textAlignment w:val="baseline"/>
              <w:rPr>
                <w:rFonts w:eastAsia="仿宋_GB2312"/>
                <w:sz w:val="32"/>
                <w:szCs w:val="32"/>
              </w:rPr>
            </w:pPr>
          </w:p>
        </w:tc>
        <w:tc>
          <w:tcPr>
            <w:tcW w:w="1574" w:type="dxa"/>
          </w:tcPr>
          <w:p w:rsidR="00363CC0" w:rsidRDefault="00363CC0">
            <w:pPr>
              <w:adjustRightInd w:val="0"/>
              <w:snapToGrid w:val="0"/>
              <w:jc w:val="left"/>
              <w:textAlignment w:val="baseline"/>
              <w:rPr>
                <w:rFonts w:eastAsia="仿宋_GB2312"/>
                <w:sz w:val="32"/>
                <w:szCs w:val="32"/>
              </w:rPr>
            </w:pPr>
          </w:p>
        </w:tc>
        <w:tc>
          <w:tcPr>
            <w:tcW w:w="3173" w:type="dxa"/>
          </w:tcPr>
          <w:p w:rsidR="00363CC0" w:rsidRDefault="00363CC0">
            <w:pPr>
              <w:adjustRightInd w:val="0"/>
              <w:snapToGrid w:val="0"/>
              <w:jc w:val="left"/>
              <w:textAlignment w:val="baseline"/>
              <w:rPr>
                <w:rFonts w:eastAsia="仿宋_GB2312"/>
                <w:sz w:val="32"/>
                <w:szCs w:val="32"/>
              </w:rPr>
            </w:pPr>
          </w:p>
        </w:tc>
        <w:tc>
          <w:tcPr>
            <w:tcW w:w="1418" w:type="dxa"/>
          </w:tcPr>
          <w:p w:rsidR="00363CC0" w:rsidRDefault="00363CC0">
            <w:pPr>
              <w:adjustRightInd w:val="0"/>
              <w:snapToGrid w:val="0"/>
              <w:jc w:val="left"/>
              <w:textAlignment w:val="baseline"/>
              <w:rPr>
                <w:rFonts w:eastAsia="仿宋_GB2312"/>
                <w:sz w:val="32"/>
                <w:szCs w:val="32"/>
              </w:rPr>
            </w:pPr>
          </w:p>
        </w:tc>
        <w:tc>
          <w:tcPr>
            <w:tcW w:w="865" w:type="dxa"/>
          </w:tcPr>
          <w:p w:rsidR="00363CC0" w:rsidRDefault="00363CC0">
            <w:pPr>
              <w:adjustRightInd w:val="0"/>
              <w:snapToGrid w:val="0"/>
              <w:jc w:val="left"/>
              <w:textAlignment w:val="baseline"/>
              <w:rPr>
                <w:rFonts w:eastAsia="仿宋_GB2312"/>
                <w:sz w:val="32"/>
                <w:szCs w:val="32"/>
              </w:rPr>
            </w:pPr>
          </w:p>
        </w:tc>
      </w:tr>
      <w:tr w:rsidR="00363CC0">
        <w:trPr>
          <w:jc w:val="center"/>
        </w:trPr>
        <w:tc>
          <w:tcPr>
            <w:tcW w:w="518" w:type="dxa"/>
          </w:tcPr>
          <w:p w:rsidR="00363CC0" w:rsidRDefault="00363CC0">
            <w:pPr>
              <w:adjustRightInd w:val="0"/>
              <w:snapToGrid w:val="0"/>
              <w:jc w:val="left"/>
              <w:textAlignment w:val="baseline"/>
              <w:rPr>
                <w:rFonts w:eastAsia="仿宋_GB2312"/>
                <w:sz w:val="32"/>
                <w:szCs w:val="32"/>
              </w:rPr>
            </w:pPr>
          </w:p>
        </w:tc>
        <w:tc>
          <w:tcPr>
            <w:tcW w:w="2327" w:type="dxa"/>
          </w:tcPr>
          <w:p w:rsidR="00363CC0" w:rsidRDefault="00363CC0">
            <w:pPr>
              <w:adjustRightInd w:val="0"/>
              <w:snapToGrid w:val="0"/>
              <w:jc w:val="left"/>
              <w:textAlignment w:val="baseline"/>
              <w:rPr>
                <w:rFonts w:eastAsia="仿宋_GB2312"/>
                <w:sz w:val="32"/>
                <w:szCs w:val="32"/>
              </w:rPr>
            </w:pPr>
          </w:p>
        </w:tc>
        <w:tc>
          <w:tcPr>
            <w:tcW w:w="3288" w:type="dxa"/>
          </w:tcPr>
          <w:p w:rsidR="00363CC0" w:rsidRDefault="00363CC0">
            <w:pPr>
              <w:adjustRightInd w:val="0"/>
              <w:snapToGrid w:val="0"/>
              <w:jc w:val="left"/>
              <w:textAlignment w:val="baseline"/>
              <w:rPr>
                <w:rFonts w:eastAsia="仿宋_GB2312"/>
                <w:sz w:val="32"/>
                <w:szCs w:val="32"/>
              </w:rPr>
            </w:pPr>
          </w:p>
        </w:tc>
        <w:tc>
          <w:tcPr>
            <w:tcW w:w="960" w:type="dxa"/>
          </w:tcPr>
          <w:p w:rsidR="00363CC0" w:rsidRDefault="00363CC0">
            <w:pPr>
              <w:adjustRightInd w:val="0"/>
              <w:snapToGrid w:val="0"/>
              <w:jc w:val="left"/>
              <w:textAlignment w:val="baseline"/>
              <w:rPr>
                <w:rFonts w:eastAsia="仿宋_GB2312"/>
                <w:sz w:val="32"/>
                <w:szCs w:val="32"/>
              </w:rPr>
            </w:pPr>
          </w:p>
        </w:tc>
        <w:tc>
          <w:tcPr>
            <w:tcW w:w="1574" w:type="dxa"/>
          </w:tcPr>
          <w:p w:rsidR="00363CC0" w:rsidRDefault="00363CC0">
            <w:pPr>
              <w:adjustRightInd w:val="0"/>
              <w:snapToGrid w:val="0"/>
              <w:jc w:val="left"/>
              <w:textAlignment w:val="baseline"/>
              <w:rPr>
                <w:rFonts w:eastAsia="仿宋_GB2312"/>
                <w:sz w:val="32"/>
                <w:szCs w:val="32"/>
              </w:rPr>
            </w:pPr>
          </w:p>
        </w:tc>
        <w:tc>
          <w:tcPr>
            <w:tcW w:w="3173" w:type="dxa"/>
          </w:tcPr>
          <w:p w:rsidR="00363CC0" w:rsidRDefault="00363CC0">
            <w:pPr>
              <w:adjustRightInd w:val="0"/>
              <w:snapToGrid w:val="0"/>
              <w:jc w:val="left"/>
              <w:textAlignment w:val="baseline"/>
              <w:rPr>
                <w:rFonts w:eastAsia="仿宋_GB2312"/>
                <w:sz w:val="32"/>
                <w:szCs w:val="32"/>
              </w:rPr>
            </w:pPr>
          </w:p>
        </w:tc>
        <w:tc>
          <w:tcPr>
            <w:tcW w:w="1418" w:type="dxa"/>
          </w:tcPr>
          <w:p w:rsidR="00363CC0" w:rsidRDefault="00363CC0">
            <w:pPr>
              <w:adjustRightInd w:val="0"/>
              <w:snapToGrid w:val="0"/>
              <w:jc w:val="left"/>
              <w:textAlignment w:val="baseline"/>
              <w:rPr>
                <w:rFonts w:eastAsia="仿宋_GB2312"/>
                <w:sz w:val="32"/>
                <w:szCs w:val="32"/>
              </w:rPr>
            </w:pPr>
          </w:p>
        </w:tc>
        <w:tc>
          <w:tcPr>
            <w:tcW w:w="865" w:type="dxa"/>
          </w:tcPr>
          <w:p w:rsidR="00363CC0" w:rsidRDefault="00363CC0">
            <w:pPr>
              <w:adjustRightInd w:val="0"/>
              <w:snapToGrid w:val="0"/>
              <w:jc w:val="left"/>
              <w:textAlignment w:val="baseline"/>
              <w:rPr>
                <w:rFonts w:eastAsia="仿宋_GB2312"/>
                <w:sz w:val="32"/>
                <w:szCs w:val="32"/>
              </w:rPr>
            </w:pPr>
          </w:p>
        </w:tc>
      </w:tr>
      <w:tr w:rsidR="00363CC0">
        <w:trPr>
          <w:jc w:val="center"/>
        </w:trPr>
        <w:tc>
          <w:tcPr>
            <w:tcW w:w="518" w:type="dxa"/>
          </w:tcPr>
          <w:p w:rsidR="00363CC0" w:rsidRDefault="00363CC0">
            <w:pPr>
              <w:adjustRightInd w:val="0"/>
              <w:snapToGrid w:val="0"/>
              <w:jc w:val="left"/>
              <w:textAlignment w:val="baseline"/>
              <w:rPr>
                <w:rFonts w:eastAsia="仿宋_GB2312"/>
                <w:sz w:val="32"/>
                <w:szCs w:val="32"/>
              </w:rPr>
            </w:pPr>
          </w:p>
        </w:tc>
        <w:tc>
          <w:tcPr>
            <w:tcW w:w="2327" w:type="dxa"/>
          </w:tcPr>
          <w:p w:rsidR="00363CC0" w:rsidRDefault="00363CC0">
            <w:pPr>
              <w:adjustRightInd w:val="0"/>
              <w:snapToGrid w:val="0"/>
              <w:jc w:val="left"/>
              <w:textAlignment w:val="baseline"/>
              <w:rPr>
                <w:rFonts w:eastAsia="仿宋_GB2312"/>
                <w:sz w:val="32"/>
                <w:szCs w:val="32"/>
              </w:rPr>
            </w:pPr>
          </w:p>
        </w:tc>
        <w:tc>
          <w:tcPr>
            <w:tcW w:w="3288" w:type="dxa"/>
          </w:tcPr>
          <w:p w:rsidR="00363CC0" w:rsidRDefault="00363CC0">
            <w:pPr>
              <w:adjustRightInd w:val="0"/>
              <w:snapToGrid w:val="0"/>
              <w:jc w:val="left"/>
              <w:textAlignment w:val="baseline"/>
              <w:rPr>
                <w:rFonts w:eastAsia="仿宋_GB2312"/>
                <w:sz w:val="32"/>
                <w:szCs w:val="32"/>
              </w:rPr>
            </w:pPr>
          </w:p>
        </w:tc>
        <w:tc>
          <w:tcPr>
            <w:tcW w:w="960" w:type="dxa"/>
          </w:tcPr>
          <w:p w:rsidR="00363CC0" w:rsidRDefault="00363CC0">
            <w:pPr>
              <w:adjustRightInd w:val="0"/>
              <w:snapToGrid w:val="0"/>
              <w:jc w:val="left"/>
              <w:textAlignment w:val="baseline"/>
              <w:rPr>
                <w:rFonts w:eastAsia="仿宋_GB2312"/>
                <w:sz w:val="32"/>
                <w:szCs w:val="32"/>
              </w:rPr>
            </w:pPr>
          </w:p>
        </w:tc>
        <w:tc>
          <w:tcPr>
            <w:tcW w:w="1574" w:type="dxa"/>
          </w:tcPr>
          <w:p w:rsidR="00363CC0" w:rsidRDefault="00363CC0">
            <w:pPr>
              <w:adjustRightInd w:val="0"/>
              <w:snapToGrid w:val="0"/>
              <w:jc w:val="left"/>
              <w:textAlignment w:val="baseline"/>
              <w:rPr>
                <w:rFonts w:eastAsia="仿宋_GB2312"/>
                <w:sz w:val="32"/>
                <w:szCs w:val="32"/>
              </w:rPr>
            </w:pPr>
          </w:p>
        </w:tc>
        <w:tc>
          <w:tcPr>
            <w:tcW w:w="3173" w:type="dxa"/>
          </w:tcPr>
          <w:p w:rsidR="00363CC0" w:rsidRDefault="00363CC0">
            <w:pPr>
              <w:adjustRightInd w:val="0"/>
              <w:snapToGrid w:val="0"/>
              <w:jc w:val="left"/>
              <w:textAlignment w:val="baseline"/>
              <w:rPr>
                <w:rFonts w:eastAsia="仿宋_GB2312"/>
                <w:sz w:val="32"/>
                <w:szCs w:val="32"/>
              </w:rPr>
            </w:pPr>
          </w:p>
        </w:tc>
        <w:tc>
          <w:tcPr>
            <w:tcW w:w="1418" w:type="dxa"/>
          </w:tcPr>
          <w:p w:rsidR="00363CC0" w:rsidRDefault="00363CC0">
            <w:pPr>
              <w:adjustRightInd w:val="0"/>
              <w:snapToGrid w:val="0"/>
              <w:jc w:val="left"/>
              <w:textAlignment w:val="baseline"/>
              <w:rPr>
                <w:rFonts w:eastAsia="仿宋_GB2312"/>
                <w:sz w:val="32"/>
                <w:szCs w:val="32"/>
              </w:rPr>
            </w:pPr>
          </w:p>
        </w:tc>
        <w:tc>
          <w:tcPr>
            <w:tcW w:w="865" w:type="dxa"/>
          </w:tcPr>
          <w:p w:rsidR="00363CC0" w:rsidRDefault="00363CC0">
            <w:pPr>
              <w:adjustRightInd w:val="0"/>
              <w:snapToGrid w:val="0"/>
              <w:jc w:val="left"/>
              <w:textAlignment w:val="baseline"/>
              <w:rPr>
                <w:rFonts w:eastAsia="仿宋_GB2312"/>
                <w:sz w:val="32"/>
                <w:szCs w:val="32"/>
              </w:rPr>
            </w:pPr>
          </w:p>
        </w:tc>
      </w:tr>
      <w:tr w:rsidR="00363CC0">
        <w:trPr>
          <w:jc w:val="center"/>
        </w:trPr>
        <w:tc>
          <w:tcPr>
            <w:tcW w:w="518" w:type="dxa"/>
          </w:tcPr>
          <w:p w:rsidR="00363CC0" w:rsidRDefault="00363CC0">
            <w:pPr>
              <w:adjustRightInd w:val="0"/>
              <w:snapToGrid w:val="0"/>
              <w:jc w:val="left"/>
              <w:textAlignment w:val="baseline"/>
              <w:rPr>
                <w:rFonts w:eastAsia="仿宋_GB2312"/>
                <w:sz w:val="32"/>
                <w:szCs w:val="32"/>
              </w:rPr>
            </w:pPr>
          </w:p>
        </w:tc>
        <w:tc>
          <w:tcPr>
            <w:tcW w:w="2327" w:type="dxa"/>
          </w:tcPr>
          <w:p w:rsidR="00363CC0" w:rsidRDefault="00363CC0">
            <w:pPr>
              <w:adjustRightInd w:val="0"/>
              <w:snapToGrid w:val="0"/>
              <w:jc w:val="left"/>
              <w:textAlignment w:val="baseline"/>
              <w:rPr>
                <w:rFonts w:eastAsia="仿宋_GB2312"/>
                <w:sz w:val="32"/>
                <w:szCs w:val="32"/>
              </w:rPr>
            </w:pPr>
          </w:p>
        </w:tc>
        <w:tc>
          <w:tcPr>
            <w:tcW w:w="3288" w:type="dxa"/>
          </w:tcPr>
          <w:p w:rsidR="00363CC0" w:rsidRDefault="00363CC0">
            <w:pPr>
              <w:adjustRightInd w:val="0"/>
              <w:snapToGrid w:val="0"/>
              <w:jc w:val="left"/>
              <w:textAlignment w:val="baseline"/>
              <w:rPr>
                <w:rFonts w:eastAsia="仿宋_GB2312"/>
                <w:sz w:val="32"/>
                <w:szCs w:val="32"/>
              </w:rPr>
            </w:pPr>
          </w:p>
        </w:tc>
        <w:tc>
          <w:tcPr>
            <w:tcW w:w="960" w:type="dxa"/>
          </w:tcPr>
          <w:p w:rsidR="00363CC0" w:rsidRDefault="00363CC0">
            <w:pPr>
              <w:adjustRightInd w:val="0"/>
              <w:snapToGrid w:val="0"/>
              <w:jc w:val="left"/>
              <w:textAlignment w:val="baseline"/>
              <w:rPr>
                <w:rFonts w:eastAsia="仿宋_GB2312"/>
                <w:sz w:val="32"/>
                <w:szCs w:val="32"/>
              </w:rPr>
            </w:pPr>
          </w:p>
        </w:tc>
        <w:tc>
          <w:tcPr>
            <w:tcW w:w="1574" w:type="dxa"/>
          </w:tcPr>
          <w:p w:rsidR="00363CC0" w:rsidRDefault="00363CC0">
            <w:pPr>
              <w:adjustRightInd w:val="0"/>
              <w:snapToGrid w:val="0"/>
              <w:jc w:val="left"/>
              <w:textAlignment w:val="baseline"/>
              <w:rPr>
                <w:rFonts w:eastAsia="仿宋_GB2312"/>
                <w:sz w:val="32"/>
                <w:szCs w:val="32"/>
              </w:rPr>
            </w:pPr>
          </w:p>
        </w:tc>
        <w:tc>
          <w:tcPr>
            <w:tcW w:w="3173" w:type="dxa"/>
          </w:tcPr>
          <w:p w:rsidR="00363CC0" w:rsidRDefault="00363CC0">
            <w:pPr>
              <w:adjustRightInd w:val="0"/>
              <w:snapToGrid w:val="0"/>
              <w:jc w:val="left"/>
              <w:textAlignment w:val="baseline"/>
              <w:rPr>
                <w:rFonts w:eastAsia="仿宋_GB2312"/>
                <w:sz w:val="32"/>
                <w:szCs w:val="32"/>
              </w:rPr>
            </w:pPr>
          </w:p>
        </w:tc>
        <w:tc>
          <w:tcPr>
            <w:tcW w:w="1418" w:type="dxa"/>
          </w:tcPr>
          <w:p w:rsidR="00363CC0" w:rsidRDefault="00363CC0">
            <w:pPr>
              <w:adjustRightInd w:val="0"/>
              <w:snapToGrid w:val="0"/>
              <w:jc w:val="left"/>
              <w:textAlignment w:val="baseline"/>
              <w:rPr>
                <w:rFonts w:eastAsia="仿宋_GB2312"/>
                <w:sz w:val="32"/>
                <w:szCs w:val="32"/>
              </w:rPr>
            </w:pPr>
          </w:p>
        </w:tc>
        <w:tc>
          <w:tcPr>
            <w:tcW w:w="865" w:type="dxa"/>
          </w:tcPr>
          <w:p w:rsidR="00363CC0" w:rsidRDefault="00363CC0">
            <w:pPr>
              <w:adjustRightInd w:val="0"/>
              <w:snapToGrid w:val="0"/>
              <w:jc w:val="left"/>
              <w:textAlignment w:val="baseline"/>
              <w:rPr>
                <w:rFonts w:eastAsia="仿宋_GB2312"/>
                <w:sz w:val="32"/>
                <w:szCs w:val="32"/>
              </w:rPr>
            </w:pPr>
          </w:p>
        </w:tc>
      </w:tr>
      <w:tr w:rsidR="00363CC0">
        <w:trPr>
          <w:jc w:val="center"/>
        </w:trPr>
        <w:tc>
          <w:tcPr>
            <w:tcW w:w="518" w:type="dxa"/>
          </w:tcPr>
          <w:p w:rsidR="00363CC0" w:rsidRDefault="00363CC0">
            <w:pPr>
              <w:adjustRightInd w:val="0"/>
              <w:snapToGrid w:val="0"/>
              <w:jc w:val="left"/>
              <w:textAlignment w:val="baseline"/>
              <w:rPr>
                <w:rFonts w:eastAsia="仿宋_GB2312"/>
                <w:sz w:val="32"/>
                <w:szCs w:val="32"/>
              </w:rPr>
            </w:pPr>
          </w:p>
        </w:tc>
        <w:tc>
          <w:tcPr>
            <w:tcW w:w="2327" w:type="dxa"/>
          </w:tcPr>
          <w:p w:rsidR="00363CC0" w:rsidRDefault="00363CC0">
            <w:pPr>
              <w:adjustRightInd w:val="0"/>
              <w:snapToGrid w:val="0"/>
              <w:jc w:val="left"/>
              <w:textAlignment w:val="baseline"/>
              <w:rPr>
                <w:rFonts w:eastAsia="仿宋_GB2312"/>
                <w:sz w:val="32"/>
                <w:szCs w:val="32"/>
              </w:rPr>
            </w:pPr>
          </w:p>
        </w:tc>
        <w:tc>
          <w:tcPr>
            <w:tcW w:w="3288" w:type="dxa"/>
          </w:tcPr>
          <w:p w:rsidR="00363CC0" w:rsidRDefault="00363CC0">
            <w:pPr>
              <w:adjustRightInd w:val="0"/>
              <w:snapToGrid w:val="0"/>
              <w:jc w:val="left"/>
              <w:textAlignment w:val="baseline"/>
              <w:rPr>
                <w:rFonts w:eastAsia="仿宋_GB2312"/>
                <w:sz w:val="32"/>
                <w:szCs w:val="32"/>
              </w:rPr>
            </w:pPr>
          </w:p>
        </w:tc>
        <w:tc>
          <w:tcPr>
            <w:tcW w:w="960" w:type="dxa"/>
          </w:tcPr>
          <w:p w:rsidR="00363CC0" w:rsidRDefault="00363CC0">
            <w:pPr>
              <w:adjustRightInd w:val="0"/>
              <w:snapToGrid w:val="0"/>
              <w:jc w:val="left"/>
              <w:textAlignment w:val="baseline"/>
              <w:rPr>
                <w:rFonts w:eastAsia="仿宋_GB2312"/>
                <w:sz w:val="32"/>
                <w:szCs w:val="32"/>
              </w:rPr>
            </w:pPr>
          </w:p>
        </w:tc>
        <w:tc>
          <w:tcPr>
            <w:tcW w:w="1574" w:type="dxa"/>
          </w:tcPr>
          <w:p w:rsidR="00363CC0" w:rsidRDefault="00363CC0">
            <w:pPr>
              <w:adjustRightInd w:val="0"/>
              <w:snapToGrid w:val="0"/>
              <w:jc w:val="left"/>
              <w:textAlignment w:val="baseline"/>
              <w:rPr>
                <w:rFonts w:eastAsia="仿宋_GB2312"/>
                <w:sz w:val="32"/>
                <w:szCs w:val="32"/>
              </w:rPr>
            </w:pPr>
          </w:p>
        </w:tc>
        <w:tc>
          <w:tcPr>
            <w:tcW w:w="3173" w:type="dxa"/>
          </w:tcPr>
          <w:p w:rsidR="00363CC0" w:rsidRDefault="00363CC0">
            <w:pPr>
              <w:adjustRightInd w:val="0"/>
              <w:snapToGrid w:val="0"/>
              <w:jc w:val="left"/>
              <w:textAlignment w:val="baseline"/>
              <w:rPr>
                <w:rFonts w:eastAsia="仿宋_GB2312"/>
                <w:sz w:val="32"/>
                <w:szCs w:val="32"/>
              </w:rPr>
            </w:pPr>
          </w:p>
        </w:tc>
        <w:tc>
          <w:tcPr>
            <w:tcW w:w="1418" w:type="dxa"/>
          </w:tcPr>
          <w:p w:rsidR="00363CC0" w:rsidRDefault="00363CC0">
            <w:pPr>
              <w:adjustRightInd w:val="0"/>
              <w:snapToGrid w:val="0"/>
              <w:jc w:val="left"/>
              <w:textAlignment w:val="baseline"/>
              <w:rPr>
                <w:rFonts w:eastAsia="仿宋_GB2312"/>
                <w:sz w:val="32"/>
                <w:szCs w:val="32"/>
              </w:rPr>
            </w:pPr>
          </w:p>
        </w:tc>
        <w:tc>
          <w:tcPr>
            <w:tcW w:w="865" w:type="dxa"/>
          </w:tcPr>
          <w:p w:rsidR="00363CC0" w:rsidRDefault="00363CC0">
            <w:pPr>
              <w:adjustRightInd w:val="0"/>
              <w:snapToGrid w:val="0"/>
              <w:jc w:val="left"/>
              <w:textAlignment w:val="baseline"/>
              <w:rPr>
                <w:rFonts w:eastAsia="仿宋_GB2312"/>
                <w:sz w:val="32"/>
                <w:szCs w:val="32"/>
              </w:rPr>
            </w:pPr>
          </w:p>
        </w:tc>
      </w:tr>
      <w:tr w:rsidR="00363CC0">
        <w:trPr>
          <w:jc w:val="center"/>
        </w:trPr>
        <w:tc>
          <w:tcPr>
            <w:tcW w:w="518" w:type="dxa"/>
          </w:tcPr>
          <w:p w:rsidR="00363CC0" w:rsidRDefault="00363CC0">
            <w:pPr>
              <w:adjustRightInd w:val="0"/>
              <w:snapToGrid w:val="0"/>
              <w:jc w:val="left"/>
              <w:textAlignment w:val="baseline"/>
              <w:rPr>
                <w:rFonts w:eastAsia="仿宋_GB2312"/>
                <w:sz w:val="32"/>
                <w:szCs w:val="32"/>
              </w:rPr>
            </w:pPr>
          </w:p>
        </w:tc>
        <w:tc>
          <w:tcPr>
            <w:tcW w:w="2327" w:type="dxa"/>
          </w:tcPr>
          <w:p w:rsidR="00363CC0" w:rsidRDefault="00363CC0">
            <w:pPr>
              <w:adjustRightInd w:val="0"/>
              <w:snapToGrid w:val="0"/>
              <w:jc w:val="left"/>
              <w:textAlignment w:val="baseline"/>
              <w:rPr>
                <w:rFonts w:eastAsia="仿宋_GB2312"/>
                <w:sz w:val="32"/>
                <w:szCs w:val="32"/>
              </w:rPr>
            </w:pPr>
          </w:p>
        </w:tc>
        <w:tc>
          <w:tcPr>
            <w:tcW w:w="3288" w:type="dxa"/>
          </w:tcPr>
          <w:p w:rsidR="00363CC0" w:rsidRDefault="00363CC0">
            <w:pPr>
              <w:adjustRightInd w:val="0"/>
              <w:snapToGrid w:val="0"/>
              <w:jc w:val="left"/>
              <w:textAlignment w:val="baseline"/>
              <w:rPr>
                <w:rFonts w:eastAsia="仿宋_GB2312"/>
                <w:sz w:val="32"/>
                <w:szCs w:val="32"/>
              </w:rPr>
            </w:pPr>
          </w:p>
        </w:tc>
        <w:tc>
          <w:tcPr>
            <w:tcW w:w="960" w:type="dxa"/>
          </w:tcPr>
          <w:p w:rsidR="00363CC0" w:rsidRDefault="00363CC0">
            <w:pPr>
              <w:adjustRightInd w:val="0"/>
              <w:snapToGrid w:val="0"/>
              <w:jc w:val="left"/>
              <w:textAlignment w:val="baseline"/>
              <w:rPr>
                <w:rFonts w:eastAsia="仿宋_GB2312"/>
                <w:sz w:val="32"/>
                <w:szCs w:val="32"/>
              </w:rPr>
            </w:pPr>
          </w:p>
        </w:tc>
        <w:tc>
          <w:tcPr>
            <w:tcW w:w="1574" w:type="dxa"/>
          </w:tcPr>
          <w:p w:rsidR="00363CC0" w:rsidRDefault="00363CC0">
            <w:pPr>
              <w:adjustRightInd w:val="0"/>
              <w:snapToGrid w:val="0"/>
              <w:jc w:val="left"/>
              <w:textAlignment w:val="baseline"/>
              <w:rPr>
                <w:rFonts w:eastAsia="仿宋_GB2312"/>
                <w:sz w:val="32"/>
                <w:szCs w:val="32"/>
              </w:rPr>
            </w:pPr>
          </w:p>
        </w:tc>
        <w:tc>
          <w:tcPr>
            <w:tcW w:w="3173" w:type="dxa"/>
          </w:tcPr>
          <w:p w:rsidR="00363CC0" w:rsidRDefault="00363CC0">
            <w:pPr>
              <w:adjustRightInd w:val="0"/>
              <w:snapToGrid w:val="0"/>
              <w:jc w:val="left"/>
              <w:textAlignment w:val="baseline"/>
              <w:rPr>
                <w:rFonts w:eastAsia="仿宋_GB2312"/>
                <w:sz w:val="32"/>
                <w:szCs w:val="32"/>
              </w:rPr>
            </w:pPr>
          </w:p>
        </w:tc>
        <w:tc>
          <w:tcPr>
            <w:tcW w:w="1418" w:type="dxa"/>
          </w:tcPr>
          <w:p w:rsidR="00363CC0" w:rsidRDefault="00363CC0">
            <w:pPr>
              <w:adjustRightInd w:val="0"/>
              <w:snapToGrid w:val="0"/>
              <w:jc w:val="left"/>
              <w:textAlignment w:val="baseline"/>
              <w:rPr>
                <w:rFonts w:eastAsia="仿宋_GB2312"/>
                <w:sz w:val="32"/>
                <w:szCs w:val="32"/>
              </w:rPr>
            </w:pPr>
          </w:p>
        </w:tc>
        <w:tc>
          <w:tcPr>
            <w:tcW w:w="865" w:type="dxa"/>
          </w:tcPr>
          <w:p w:rsidR="00363CC0" w:rsidRDefault="00363CC0">
            <w:pPr>
              <w:adjustRightInd w:val="0"/>
              <w:snapToGrid w:val="0"/>
              <w:jc w:val="left"/>
              <w:textAlignment w:val="baseline"/>
              <w:rPr>
                <w:rFonts w:eastAsia="仿宋_GB2312"/>
                <w:sz w:val="32"/>
                <w:szCs w:val="32"/>
              </w:rPr>
            </w:pPr>
          </w:p>
        </w:tc>
      </w:tr>
    </w:tbl>
    <w:p w:rsidR="00363CC0" w:rsidRDefault="00363CC0">
      <w:pPr>
        <w:adjustRightInd w:val="0"/>
        <w:snapToGrid w:val="0"/>
        <w:textAlignment w:val="baseline"/>
        <w:rPr>
          <w:rFonts w:eastAsia="仿宋_GB2312"/>
          <w:sz w:val="28"/>
          <w:szCs w:val="28"/>
        </w:rPr>
      </w:pPr>
    </w:p>
    <w:p w:rsidR="00363CC0" w:rsidRDefault="00F24112">
      <w:pPr>
        <w:adjustRightInd w:val="0"/>
        <w:snapToGrid w:val="0"/>
        <w:textAlignment w:val="baseline"/>
        <w:rPr>
          <w:rFonts w:eastAsia="仿宋_GB2312"/>
          <w:sz w:val="32"/>
          <w:szCs w:val="32"/>
        </w:rPr>
      </w:pPr>
      <w:r>
        <w:rPr>
          <w:rFonts w:eastAsia="仿宋_GB2312"/>
          <w:sz w:val="28"/>
          <w:szCs w:val="28"/>
        </w:rPr>
        <w:t>注：来源需写明时间，如：某年某月某日某市（州）局检查。</w:t>
      </w:r>
    </w:p>
    <w:p w:rsidR="00363CC0" w:rsidRDefault="00363CC0">
      <w:pPr>
        <w:adjustRightInd w:val="0"/>
        <w:snapToGrid w:val="0"/>
        <w:jc w:val="left"/>
        <w:textAlignment w:val="baseline"/>
        <w:rPr>
          <w:rFonts w:eastAsia="仿宋_GB2312"/>
          <w:sz w:val="32"/>
          <w:szCs w:val="32"/>
        </w:rPr>
      </w:pPr>
    </w:p>
    <w:p w:rsidR="00363CC0" w:rsidRDefault="00363CC0">
      <w:pPr>
        <w:adjustRightInd w:val="0"/>
        <w:snapToGrid w:val="0"/>
        <w:spacing w:line="480" w:lineRule="exact"/>
        <w:textAlignment w:val="baseline"/>
        <w:rPr>
          <w:rFonts w:eastAsia="仿宋_GB2312"/>
          <w:sz w:val="32"/>
          <w:szCs w:val="32"/>
        </w:rPr>
      </w:pPr>
    </w:p>
    <w:p w:rsidR="00363CC0" w:rsidRDefault="00363CC0">
      <w:pPr>
        <w:adjustRightInd w:val="0"/>
        <w:snapToGrid w:val="0"/>
        <w:spacing w:line="540" w:lineRule="exact"/>
        <w:textAlignment w:val="baseline"/>
        <w:rPr>
          <w:rFonts w:eastAsia="黑体"/>
          <w:bCs/>
          <w:kern w:val="0"/>
          <w:sz w:val="32"/>
          <w:szCs w:val="32"/>
        </w:rPr>
        <w:sectPr w:rsidR="00363CC0">
          <w:pgSz w:w="16838" w:h="11906" w:orient="landscape"/>
          <w:pgMar w:top="2098" w:right="1474" w:bottom="1984" w:left="1587" w:header="851" w:footer="992" w:gutter="0"/>
          <w:pgNumType w:fmt="numberInDash"/>
          <w:cols w:space="720"/>
          <w:docGrid w:linePitch="312"/>
        </w:sectPr>
      </w:pPr>
    </w:p>
    <w:p w:rsidR="00363CC0" w:rsidRDefault="00F24112">
      <w:pPr>
        <w:adjustRightInd w:val="0"/>
        <w:snapToGrid w:val="0"/>
        <w:spacing w:line="540" w:lineRule="exact"/>
        <w:textAlignment w:val="baseline"/>
        <w:rPr>
          <w:rFonts w:eastAsia="仿宋_GB2312"/>
          <w:sz w:val="32"/>
          <w:szCs w:val="32"/>
        </w:rPr>
      </w:pPr>
      <w:r>
        <w:rPr>
          <w:rFonts w:eastAsia="黑体"/>
          <w:bCs/>
          <w:kern w:val="0"/>
          <w:sz w:val="32"/>
          <w:szCs w:val="32"/>
        </w:rPr>
        <w:lastRenderedPageBreak/>
        <w:t>附件</w:t>
      </w:r>
      <w:r>
        <w:rPr>
          <w:rFonts w:eastAsia="黑体"/>
          <w:bCs/>
          <w:kern w:val="0"/>
          <w:sz w:val="32"/>
          <w:szCs w:val="32"/>
        </w:rPr>
        <w:t>4</w:t>
      </w:r>
    </w:p>
    <w:p w:rsidR="00363CC0" w:rsidRDefault="00363CC0"/>
    <w:p w:rsidR="00363CC0" w:rsidRDefault="00F24112">
      <w:pPr>
        <w:adjustRightInd w:val="0"/>
        <w:snapToGrid w:val="0"/>
        <w:jc w:val="center"/>
        <w:textAlignment w:val="baseline"/>
        <w:rPr>
          <w:rFonts w:eastAsia="方正小标宋简体"/>
          <w:bCs/>
          <w:kern w:val="0"/>
          <w:sz w:val="44"/>
          <w:szCs w:val="44"/>
        </w:rPr>
      </w:pPr>
      <w:r>
        <w:rPr>
          <w:rFonts w:eastAsia="方正小标宋简体"/>
          <w:bCs/>
          <w:kern w:val="0"/>
          <w:sz w:val="44"/>
          <w:szCs w:val="44"/>
        </w:rPr>
        <w:t>湖南省非煤矿山企业分类监管判定标准</w:t>
      </w:r>
    </w:p>
    <w:p w:rsidR="00363CC0" w:rsidRDefault="00363CC0">
      <w:pPr>
        <w:adjustRightInd w:val="0"/>
        <w:snapToGrid w:val="0"/>
        <w:spacing w:line="500" w:lineRule="exact"/>
        <w:textAlignment w:val="baseline"/>
        <w:rPr>
          <w:rFonts w:eastAsia="黑体"/>
          <w:bCs/>
          <w:sz w:val="32"/>
          <w:szCs w:val="32"/>
        </w:rPr>
      </w:pPr>
    </w:p>
    <w:p w:rsidR="00363CC0" w:rsidRDefault="00F24112">
      <w:pPr>
        <w:adjustRightInd w:val="0"/>
        <w:snapToGrid w:val="0"/>
        <w:spacing w:line="500" w:lineRule="exact"/>
        <w:ind w:firstLineChars="200" w:firstLine="640"/>
        <w:textAlignment w:val="baseline"/>
        <w:rPr>
          <w:rFonts w:eastAsia="黑体"/>
          <w:bCs/>
          <w:spacing w:val="-10"/>
          <w:sz w:val="32"/>
          <w:szCs w:val="32"/>
        </w:rPr>
      </w:pPr>
      <w:r>
        <w:rPr>
          <w:rFonts w:eastAsia="黑体"/>
          <w:bCs/>
          <w:sz w:val="32"/>
          <w:szCs w:val="32"/>
        </w:rPr>
        <w:t>一、</w:t>
      </w:r>
      <w:r>
        <w:rPr>
          <w:rFonts w:eastAsia="黑体"/>
          <w:bCs/>
          <w:spacing w:val="-10"/>
          <w:sz w:val="32"/>
          <w:szCs w:val="32"/>
        </w:rPr>
        <w:t>金属非金属地下矿山企业分类监管判定标准</w:t>
      </w:r>
    </w:p>
    <w:p w:rsidR="00363CC0" w:rsidRDefault="00F24112">
      <w:pPr>
        <w:adjustRightInd w:val="0"/>
        <w:snapToGrid w:val="0"/>
        <w:spacing w:line="500" w:lineRule="exact"/>
        <w:ind w:firstLineChars="200" w:firstLine="643"/>
        <w:textAlignment w:val="baseline"/>
        <w:rPr>
          <w:rFonts w:eastAsia="楷体_GB2312"/>
          <w:b/>
          <w:sz w:val="32"/>
          <w:szCs w:val="32"/>
        </w:rPr>
      </w:pPr>
      <w:r>
        <w:rPr>
          <w:rFonts w:eastAsia="楷体_GB2312"/>
          <w:b/>
          <w:sz w:val="32"/>
          <w:szCs w:val="32"/>
        </w:rPr>
        <w:t>1.</w:t>
      </w:r>
      <w:r>
        <w:rPr>
          <w:rFonts w:eastAsia="楷体_GB2312"/>
          <w:b/>
          <w:sz w:val="32"/>
          <w:szCs w:val="32"/>
        </w:rPr>
        <w:t>以下情形之一，判定为</w:t>
      </w:r>
      <w:r>
        <w:rPr>
          <w:rFonts w:eastAsia="楷体_GB2312"/>
          <w:b/>
          <w:sz w:val="32"/>
          <w:szCs w:val="32"/>
        </w:rPr>
        <w:t>D</w:t>
      </w:r>
      <w:r>
        <w:rPr>
          <w:rFonts w:eastAsia="楷体_GB2312"/>
          <w:b/>
          <w:sz w:val="32"/>
          <w:szCs w:val="32"/>
        </w:rPr>
        <w:t>类企业</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）当班最大下井人数</w:t>
      </w:r>
      <w:r>
        <w:rPr>
          <w:rFonts w:eastAsia="仿宋_GB2312"/>
          <w:sz w:val="32"/>
          <w:szCs w:val="32"/>
        </w:rPr>
        <w:t>30</w:t>
      </w:r>
      <w:r>
        <w:rPr>
          <w:rFonts w:eastAsia="仿宋_GB2312"/>
          <w:sz w:val="32"/>
          <w:szCs w:val="32"/>
        </w:rPr>
        <w:t>人以上的（按设计确定）；</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）使用斜井人车和罐笼提升人员的；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）企业存在炸药库的；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）存在</w:t>
      </w:r>
      <w:r>
        <w:rPr>
          <w:rFonts w:eastAsia="仿宋_GB2312"/>
          <w:sz w:val="32"/>
          <w:szCs w:val="32"/>
        </w:rPr>
        <w:t>3</w:t>
      </w:r>
      <w:r>
        <w:rPr>
          <w:rFonts w:eastAsia="仿宋_GB2312"/>
          <w:sz w:val="32"/>
          <w:szCs w:val="32"/>
        </w:rPr>
        <w:t>个及以上中段同时开采的；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）与煤共（伴）生地下矿山；</w:t>
      </w:r>
    </w:p>
    <w:p w:rsidR="00363CC0" w:rsidRDefault="00F24112">
      <w:pPr>
        <w:adjustRightInd w:val="0"/>
        <w:snapToGrid w:val="0"/>
        <w:spacing w:line="500" w:lineRule="exact"/>
        <w:ind w:leftChars="304" w:left="1598" w:hangingChars="300" w:hanging="960"/>
        <w:textAlignment w:val="baseline"/>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）水文地质复杂、水体下开采矿山和曾发生过透水事</w:t>
      </w:r>
    </w:p>
    <w:p w:rsidR="00363CC0" w:rsidRDefault="00F24112">
      <w:pPr>
        <w:adjustRightInd w:val="0"/>
        <w:snapToGrid w:val="0"/>
        <w:spacing w:line="500" w:lineRule="exact"/>
        <w:textAlignment w:val="baseline"/>
        <w:rPr>
          <w:rFonts w:eastAsia="仿宋_GB2312"/>
          <w:sz w:val="32"/>
          <w:szCs w:val="32"/>
        </w:rPr>
      </w:pPr>
      <w:r>
        <w:rPr>
          <w:rFonts w:eastAsia="仿宋_GB2312"/>
          <w:sz w:val="32"/>
          <w:szCs w:val="32"/>
        </w:rPr>
        <w:t>的矿区；</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）经风险评估存在重大风险点（区域）的。</w:t>
      </w:r>
    </w:p>
    <w:p w:rsidR="00363CC0" w:rsidRDefault="00F24112">
      <w:pPr>
        <w:adjustRightInd w:val="0"/>
        <w:snapToGrid w:val="0"/>
        <w:spacing w:line="500" w:lineRule="exact"/>
        <w:ind w:firstLineChars="200" w:firstLine="643"/>
        <w:textAlignment w:val="baseline"/>
        <w:rPr>
          <w:rFonts w:eastAsia="楷体_GB2312"/>
          <w:b/>
          <w:sz w:val="32"/>
          <w:szCs w:val="32"/>
        </w:rPr>
      </w:pPr>
      <w:r>
        <w:rPr>
          <w:rFonts w:eastAsia="楷体_GB2312"/>
          <w:b/>
          <w:sz w:val="32"/>
          <w:szCs w:val="32"/>
        </w:rPr>
        <w:t>2.</w:t>
      </w:r>
      <w:r>
        <w:rPr>
          <w:rFonts w:eastAsia="楷体_GB2312"/>
          <w:b/>
          <w:sz w:val="32"/>
          <w:szCs w:val="32"/>
        </w:rPr>
        <w:t>以下情形之一，判定为</w:t>
      </w:r>
      <w:r>
        <w:rPr>
          <w:rFonts w:eastAsia="楷体_GB2312"/>
          <w:b/>
          <w:sz w:val="32"/>
          <w:szCs w:val="32"/>
        </w:rPr>
        <w:t>C</w:t>
      </w:r>
      <w:r>
        <w:rPr>
          <w:rFonts w:eastAsia="楷体_GB2312"/>
          <w:b/>
          <w:sz w:val="32"/>
          <w:szCs w:val="32"/>
        </w:rPr>
        <w:t>类企业</w:t>
      </w:r>
    </w:p>
    <w:p w:rsidR="00363CC0" w:rsidRDefault="00F24112">
      <w:pPr>
        <w:adjustRightInd w:val="0"/>
        <w:snapToGrid w:val="0"/>
        <w:spacing w:line="500" w:lineRule="exact"/>
        <w:ind w:leftChars="304" w:left="1598" w:hangingChars="300" w:hanging="96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）当班最大下井人数</w:t>
      </w:r>
      <w:r>
        <w:rPr>
          <w:rFonts w:eastAsia="仿宋_GB2312"/>
          <w:sz w:val="32"/>
          <w:szCs w:val="32"/>
        </w:rPr>
        <w:t>10</w:t>
      </w:r>
      <w:r>
        <w:rPr>
          <w:rFonts w:eastAsia="仿宋_GB2312"/>
          <w:sz w:val="32"/>
          <w:szCs w:val="32"/>
        </w:rPr>
        <w:t>人以上、</w:t>
      </w:r>
      <w:r>
        <w:rPr>
          <w:rFonts w:eastAsia="仿宋_GB2312"/>
          <w:sz w:val="32"/>
          <w:szCs w:val="32"/>
        </w:rPr>
        <w:t>30</w:t>
      </w:r>
      <w:r>
        <w:rPr>
          <w:rFonts w:eastAsia="仿宋_GB2312"/>
          <w:sz w:val="32"/>
          <w:szCs w:val="32"/>
        </w:rPr>
        <w:t>人以下的（按设计</w:t>
      </w:r>
    </w:p>
    <w:p w:rsidR="00363CC0" w:rsidRDefault="00F24112">
      <w:pPr>
        <w:adjustRightInd w:val="0"/>
        <w:snapToGrid w:val="0"/>
        <w:spacing w:line="500" w:lineRule="exact"/>
        <w:textAlignment w:val="baseline"/>
        <w:rPr>
          <w:rFonts w:eastAsia="仿宋_GB2312"/>
          <w:sz w:val="32"/>
          <w:szCs w:val="32"/>
        </w:rPr>
      </w:pPr>
      <w:r>
        <w:rPr>
          <w:rFonts w:eastAsia="仿宋_GB2312"/>
          <w:sz w:val="32"/>
          <w:szCs w:val="32"/>
        </w:rPr>
        <w:t>确定）；</w:t>
      </w:r>
    </w:p>
    <w:p w:rsidR="00363CC0" w:rsidRDefault="00F24112">
      <w:pPr>
        <w:adjustRightInd w:val="0"/>
        <w:snapToGrid w:val="0"/>
        <w:spacing w:line="500" w:lineRule="exact"/>
        <w:ind w:leftChars="304" w:left="1598" w:hangingChars="300" w:hanging="96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）使用斜坡道无轨运输车运输人员和架空人车提升人员</w:t>
      </w:r>
    </w:p>
    <w:p w:rsidR="00363CC0" w:rsidRDefault="00F24112">
      <w:pPr>
        <w:adjustRightInd w:val="0"/>
        <w:snapToGrid w:val="0"/>
        <w:spacing w:line="500" w:lineRule="exact"/>
        <w:textAlignment w:val="baseline"/>
        <w:rPr>
          <w:rFonts w:eastAsia="仿宋_GB2312"/>
          <w:sz w:val="32"/>
          <w:szCs w:val="32"/>
        </w:rPr>
      </w:pPr>
      <w:r>
        <w:rPr>
          <w:rFonts w:eastAsia="仿宋_GB2312"/>
          <w:sz w:val="32"/>
          <w:szCs w:val="32"/>
        </w:rPr>
        <w:t>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）存在</w:t>
      </w:r>
      <w:r>
        <w:rPr>
          <w:rFonts w:eastAsia="仿宋_GB2312"/>
          <w:sz w:val="32"/>
          <w:szCs w:val="32"/>
        </w:rPr>
        <w:t>2</w:t>
      </w:r>
      <w:r>
        <w:rPr>
          <w:rFonts w:eastAsia="仿宋_GB2312"/>
          <w:sz w:val="32"/>
          <w:szCs w:val="32"/>
        </w:rPr>
        <w:t>个中段同时开采的；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）存在外包工程（井下采掘施工）的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）经风险评估存在较大风险点（区域）的。</w:t>
      </w:r>
    </w:p>
    <w:p w:rsidR="00363CC0" w:rsidRDefault="00F24112">
      <w:pPr>
        <w:adjustRightInd w:val="0"/>
        <w:snapToGrid w:val="0"/>
        <w:spacing w:line="500" w:lineRule="exact"/>
        <w:ind w:firstLineChars="200" w:firstLine="643"/>
        <w:textAlignment w:val="baseline"/>
        <w:rPr>
          <w:rFonts w:eastAsia="楷体_GB2312"/>
          <w:b/>
          <w:sz w:val="32"/>
          <w:szCs w:val="32"/>
        </w:rPr>
      </w:pPr>
      <w:r>
        <w:rPr>
          <w:rFonts w:eastAsia="楷体_GB2312"/>
          <w:b/>
          <w:sz w:val="32"/>
          <w:szCs w:val="32"/>
        </w:rPr>
        <w:t>3.</w:t>
      </w:r>
      <w:r>
        <w:rPr>
          <w:rFonts w:eastAsia="楷体_GB2312"/>
          <w:b/>
          <w:sz w:val="32"/>
          <w:szCs w:val="32"/>
        </w:rPr>
        <w:t>以下情形之一，判定为</w:t>
      </w:r>
      <w:r>
        <w:rPr>
          <w:rFonts w:eastAsia="楷体_GB2312"/>
          <w:b/>
          <w:sz w:val="32"/>
          <w:szCs w:val="32"/>
        </w:rPr>
        <w:t>B</w:t>
      </w:r>
      <w:r>
        <w:rPr>
          <w:rFonts w:eastAsia="楷体_GB2312"/>
          <w:b/>
          <w:sz w:val="32"/>
          <w:szCs w:val="32"/>
        </w:rPr>
        <w:t>类企业</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）当班最大下井人数</w:t>
      </w:r>
      <w:r>
        <w:rPr>
          <w:rFonts w:eastAsia="仿宋_GB2312"/>
          <w:sz w:val="32"/>
          <w:szCs w:val="32"/>
        </w:rPr>
        <w:t>10</w:t>
      </w:r>
      <w:r>
        <w:rPr>
          <w:rFonts w:eastAsia="仿宋_GB2312"/>
          <w:sz w:val="32"/>
          <w:szCs w:val="32"/>
        </w:rPr>
        <w:t>人以下的（按设计确定）；</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）只有一个中段开采的；</w:t>
      </w:r>
    </w:p>
    <w:p w:rsidR="00363CC0" w:rsidRDefault="00F24112">
      <w:pPr>
        <w:adjustRightInd w:val="0"/>
        <w:snapToGrid w:val="0"/>
        <w:spacing w:line="500" w:lineRule="exact"/>
        <w:ind w:leftChars="304" w:left="1598" w:hangingChars="300" w:hanging="960"/>
        <w:textAlignment w:val="baseline"/>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）停产停建地下矿山井口未封闭需下井从事排水、通风</w:t>
      </w:r>
    </w:p>
    <w:p w:rsidR="00363CC0" w:rsidRDefault="00F24112">
      <w:pPr>
        <w:adjustRightInd w:val="0"/>
        <w:snapToGrid w:val="0"/>
        <w:spacing w:line="500" w:lineRule="exact"/>
        <w:textAlignment w:val="baseline"/>
        <w:rPr>
          <w:rFonts w:eastAsia="仿宋_GB2312"/>
          <w:sz w:val="32"/>
          <w:szCs w:val="32"/>
        </w:rPr>
      </w:pPr>
      <w:r>
        <w:rPr>
          <w:rFonts w:eastAsia="仿宋_GB2312"/>
          <w:sz w:val="32"/>
          <w:szCs w:val="32"/>
        </w:rPr>
        <w:t>等作业的</w:t>
      </w:r>
      <w:r>
        <w:rPr>
          <w:rFonts w:eastAsia="仿宋_GB2312"/>
          <w:sz w:val="32"/>
          <w:szCs w:val="32"/>
        </w:rPr>
        <w:t>;</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）经风险评估存在一般风险点（区域）的。</w:t>
      </w:r>
    </w:p>
    <w:p w:rsidR="00363CC0" w:rsidRDefault="00F24112">
      <w:pPr>
        <w:adjustRightInd w:val="0"/>
        <w:snapToGrid w:val="0"/>
        <w:spacing w:line="500" w:lineRule="exact"/>
        <w:ind w:firstLineChars="200" w:firstLine="643"/>
        <w:textAlignment w:val="baseline"/>
        <w:rPr>
          <w:rFonts w:eastAsia="楷体_GB2312"/>
          <w:b/>
          <w:sz w:val="32"/>
          <w:szCs w:val="32"/>
        </w:rPr>
      </w:pPr>
      <w:r>
        <w:rPr>
          <w:rFonts w:eastAsia="楷体_GB2312"/>
          <w:b/>
          <w:sz w:val="32"/>
          <w:szCs w:val="32"/>
        </w:rPr>
        <w:t>4.</w:t>
      </w:r>
      <w:r>
        <w:rPr>
          <w:rFonts w:eastAsia="楷体_GB2312"/>
          <w:b/>
          <w:sz w:val="32"/>
          <w:szCs w:val="32"/>
        </w:rPr>
        <w:t>以下情形之一，判定为</w:t>
      </w:r>
      <w:r>
        <w:rPr>
          <w:rFonts w:eastAsia="楷体_GB2312"/>
          <w:b/>
          <w:sz w:val="32"/>
          <w:szCs w:val="32"/>
        </w:rPr>
        <w:t>A</w:t>
      </w:r>
      <w:r>
        <w:rPr>
          <w:rFonts w:eastAsia="楷体_GB2312"/>
          <w:b/>
          <w:sz w:val="32"/>
          <w:szCs w:val="32"/>
        </w:rPr>
        <w:t>类企业</w:t>
      </w:r>
    </w:p>
    <w:p w:rsidR="00363CC0" w:rsidRDefault="00F24112">
      <w:pPr>
        <w:adjustRightInd w:val="0"/>
        <w:snapToGrid w:val="0"/>
        <w:spacing w:line="500" w:lineRule="exact"/>
        <w:ind w:leftChars="304" w:left="1598" w:hangingChars="300" w:hanging="96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）停产、停建地下矿山井口已封闭不需要下井排水、通</w:t>
      </w:r>
    </w:p>
    <w:p w:rsidR="00363CC0" w:rsidRDefault="00F24112">
      <w:pPr>
        <w:adjustRightInd w:val="0"/>
        <w:snapToGrid w:val="0"/>
        <w:spacing w:line="500" w:lineRule="exact"/>
        <w:textAlignment w:val="baseline"/>
        <w:rPr>
          <w:rFonts w:eastAsia="仿宋_GB2312"/>
          <w:sz w:val="32"/>
          <w:szCs w:val="32"/>
        </w:rPr>
      </w:pPr>
      <w:r>
        <w:rPr>
          <w:rFonts w:eastAsia="仿宋_GB2312"/>
          <w:sz w:val="32"/>
          <w:szCs w:val="32"/>
        </w:rPr>
        <w:t>风作业的；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）经风险评估确定为低风险的。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企业风险评定应遵循从严从高的原则，即企业同时存在两类以上风险等级的情形，应按照最高分类等级确定企业等级。</w:t>
      </w:r>
    </w:p>
    <w:p w:rsidR="00363CC0" w:rsidRDefault="00F24112">
      <w:pPr>
        <w:adjustRightInd w:val="0"/>
        <w:snapToGrid w:val="0"/>
        <w:spacing w:line="500" w:lineRule="exact"/>
        <w:ind w:firstLineChars="200" w:firstLine="640"/>
        <w:textAlignment w:val="baseline"/>
        <w:rPr>
          <w:rFonts w:eastAsia="黑体"/>
          <w:spacing w:val="-10"/>
          <w:sz w:val="32"/>
          <w:szCs w:val="32"/>
        </w:rPr>
      </w:pPr>
      <w:r>
        <w:rPr>
          <w:rFonts w:eastAsia="黑体"/>
          <w:bCs/>
          <w:sz w:val="32"/>
          <w:szCs w:val="32"/>
        </w:rPr>
        <w:t>二、</w:t>
      </w:r>
      <w:r>
        <w:rPr>
          <w:rFonts w:eastAsia="黑体"/>
          <w:bCs/>
          <w:spacing w:val="-10"/>
          <w:sz w:val="32"/>
          <w:szCs w:val="32"/>
        </w:rPr>
        <w:t>金属非金属露天矿山企业分类监管判定标准</w:t>
      </w:r>
    </w:p>
    <w:p w:rsidR="00363CC0" w:rsidRDefault="00F24112">
      <w:pPr>
        <w:adjustRightInd w:val="0"/>
        <w:snapToGrid w:val="0"/>
        <w:spacing w:line="500" w:lineRule="exact"/>
        <w:ind w:firstLineChars="200" w:firstLine="643"/>
        <w:textAlignment w:val="baseline"/>
        <w:rPr>
          <w:rFonts w:eastAsia="楷体_GB2312"/>
          <w:b/>
          <w:sz w:val="32"/>
          <w:szCs w:val="32"/>
        </w:rPr>
      </w:pPr>
      <w:r>
        <w:rPr>
          <w:rFonts w:eastAsia="楷体_GB2312"/>
          <w:b/>
          <w:sz w:val="32"/>
          <w:szCs w:val="32"/>
        </w:rPr>
        <w:t>1.</w:t>
      </w:r>
      <w:r>
        <w:rPr>
          <w:rFonts w:eastAsia="楷体_GB2312"/>
          <w:b/>
          <w:sz w:val="32"/>
          <w:szCs w:val="32"/>
        </w:rPr>
        <w:t>以下情形之一，判定为</w:t>
      </w:r>
      <w:r>
        <w:rPr>
          <w:rFonts w:eastAsia="楷体_GB2312"/>
          <w:b/>
          <w:sz w:val="32"/>
          <w:szCs w:val="32"/>
        </w:rPr>
        <w:t>D</w:t>
      </w:r>
      <w:r>
        <w:rPr>
          <w:rFonts w:eastAsia="楷体_GB2312"/>
          <w:b/>
          <w:sz w:val="32"/>
          <w:szCs w:val="32"/>
        </w:rPr>
        <w:t>类企业</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）边坡高度超过</w:t>
      </w:r>
      <w:r>
        <w:rPr>
          <w:rFonts w:eastAsia="仿宋_GB2312"/>
          <w:sz w:val="32"/>
          <w:szCs w:val="32"/>
        </w:rPr>
        <w:t>100</w:t>
      </w:r>
      <w:r>
        <w:rPr>
          <w:rFonts w:eastAsia="仿宋_GB2312"/>
          <w:sz w:val="32"/>
          <w:szCs w:val="32"/>
        </w:rPr>
        <w:t>米的；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）企业存在炸药库的；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）排土场下游</w:t>
      </w:r>
      <w:r>
        <w:rPr>
          <w:rFonts w:eastAsia="仿宋_GB2312"/>
          <w:sz w:val="32"/>
          <w:szCs w:val="32"/>
        </w:rPr>
        <w:t>100</w:t>
      </w:r>
      <w:r>
        <w:rPr>
          <w:rFonts w:eastAsia="仿宋_GB2312"/>
          <w:sz w:val="32"/>
          <w:szCs w:val="32"/>
        </w:rPr>
        <w:t>米范围内有居民的；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）经风险评估存在重大风险点（区域）的。</w:t>
      </w:r>
    </w:p>
    <w:p w:rsidR="00363CC0" w:rsidRDefault="00F24112">
      <w:pPr>
        <w:adjustRightInd w:val="0"/>
        <w:snapToGrid w:val="0"/>
        <w:spacing w:line="500" w:lineRule="exact"/>
        <w:ind w:firstLineChars="200" w:firstLine="643"/>
        <w:textAlignment w:val="baseline"/>
        <w:rPr>
          <w:rFonts w:eastAsia="楷体_GB2312"/>
          <w:b/>
          <w:sz w:val="32"/>
          <w:szCs w:val="32"/>
        </w:rPr>
      </w:pPr>
      <w:r>
        <w:rPr>
          <w:rFonts w:eastAsia="楷体_GB2312"/>
          <w:b/>
          <w:sz w:val="32"/>
          <w:szCs w:val="32"/>
        </w:rPr>
        <w:t>2.</w:t>
      </w:r>
      <w:r>
        <w:rPr>
          <w:rFonts w:eastAsia="楷体_GB2312"/>
          <w:b/>
          <w:sz w:val="32"/>
          <w:szCs w:val="32"/>
        </w:rPr>
        <w:t>以</w:t>
      </w:r>
      <w:r>
        <w:rPr>
          <w:rFonts w:eastAsia="楷体_GB2312"/>
          <w:b/>
          <w:sz w:val="32"/>
          <w:szCs w:val="32"/>
        </w:rPr>
        <w:t>下情形之一，判定为</w:t>
      </w:r>
      <w:r>
        <w:rPr>
          <w:rFonts w:eastAsia="楷体_GB2312"/>
          <w:b/>
          <w:sz w:val="32"/>
          <w:szCs w:val="32"/>
        </w:rPr>
        <w:t>C</w:t>
      </w:r>
      <w:r>
        <w:rPr>
          <w:rFonts w:eastAsia="楷体_GB2312"/>
          <w:b/>
          <w:sz w:val="32"/>
          <w:szCs w:val="32"/>
        </w:rPr>
        <w:t>类企业</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t xml:space="preserve"> </w:t>
      </w:r>
      <w:r>
        <w:rPr>
          <w:rFonts w:eastAsia="仿宋_GB2312"/>
          <w:sz w:val="32"/>
          <w:szCs w:val="32"/>
        </w:rPr>
        <w:t>存在</w:t>
      </w:r>
      <w:r>
        <w:rPr>
          <w:rFonts w:eastAsia="仿宋_GB2312"/>
          <w:sz w:val="32"/>
          <w:szCs w:val="32"/>
        </w:rPr>
        <w:t>3</w:t>
      </w:r>
      <w:r>
        <w:rPr>
          <w:rFonts w:eastAsia="仿宋_GB2312"/>
          <w:sz w:val="32"/>
          <w:szCs w:val="32"/>
        </w:rPr>
        <w:t>个及以上平台同时作业的；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）边坡高度在</w:t>
      </w:r>
      <w:r>
        <w:rPr>
          <w:rFonts w:eastAsia="仿宋_GB2312"/>
          <w:sz w:val="32"/>
          <w:szCs w:val="32"/>
        </w:rPr>
        <w:t>60</w:t>
      </w:r>
      <w:r>
        <w:rPr>
          <w:rFonts w:eastAsia="仿宋_GB2312"/>
          <w:sz w:val="32"/>
          <w:szCs w:val="32"/>
        </w:rPr>
        <w:t>米至</w:t>
      </w:r>
      <w:r>
        <w:rPr>
          <w:rFonts w:eastAsia="仿宋_GB2312"/>
          <w:sz w:val="32"/>
          <w:szCs w:val="32"/>
        </w:rPr>
        <w:t>100</w:t>
      </w:r>
      <w:r>
        <w:rPr>
          <w:rFonts w:eastAsia="仿宋_GB2312"/>
          <w:sz w:val="32"/>
          <w:szCs w:val="32"/>
        </w:rPr>
        <w:t>米之间的；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t xml:space="preserve"> </w:t>
      </w:r>
      <w:r>
        <w:rPr>
          <w:rFonts w:eastAsia="仿宋_GB2312"/>
          <w:sz w:val="32"/>
          <w:szCs w:val="32"/>
        </w:rPr>
        <w:t>排土场下游</w:t>
      </w:r>
      <w:r>
        <w:rPr>
          <w:rFonts w:eastAsia="仿宋_GB2312"/>
          <w:sz w:val="32"/>
          <w:szCs w:val="32"/>
        </w:rPr>
        <w:t>300</w:t>
      </w:r>
      <w:r>
        <w:rPr>
          <w:rFonts w:eastAsia="仿宋_GB2312"/>
          <w:sz w:val="32"/>
          <w:szCs w:val="32"/>
        </w:rPr>
        <w:t>米范围内有居民的；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）存在外包工程（含爆破外包）的；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）经风险评估存在较大风险点（区域）的。</w:t>
      </w:r>
    </w:p>
    <w:p w:rsidR="00363CC0" w:rsidRDefault="00F24112">
      <w:pPr>
        <w:adjustRightInd w:val="0"/>
        <w:snapToGrid w:val="0"/>
        <w:spacing w:line="500" w:lineRule="exact"/>
        <w:ind w:firstLineChars="200" w:firstLine="643"/>
        <w:textAlignment w:val="baseline"/>
        <w:rPr>
          <w:rFonts w:eastAsia="楷体_GB2312"/>
          <w:b/>
          <w:sz w:val="32"/>
          <w:szCs w:val="32"/>
        </w:rPr>
      </w:pPr>
      <w:r>
        <w:rPr>
          <w:rFonts w:eastAsia="楷体_GB2312"/>
          <w:b/>
          <w:sz w:val="32"/>
          <w:szCs w:val="32"/>
        </w:rPr>
        <w:t>3.</w:t>
      </w:r>
      <w:r>
        <w:rPr>
          <w:rFonts w:eastAsia="楷体_GB2312"/>
          <w:b/>
          <w:sz w:val="32"/>
          <w:szCs w:val="32"/>
        </w:rPr>
        <w:t>以下情形之一，判定为</w:t>
      </w:r>
      <w:r>
        <w:rPr>
          <w:rFonts w:eastAsia="楷体_GB2312"/>
          <w:b/>
          <w:sz w:val="32"/>
          <w:szCs w:val="32"/>
        </w:rPr>
        <w:t>B</w:t>
      </w:r>
      <w:r>
        <w:rPr>
          <w:rFonts w:eastAsia="楷体_GB2312"/>
          <w:b/>
          <w:sz w:val="32"/>
          <w:szCs w:val="32"/>
        </w:rPr>
        <w:t>类企业</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）存在</w:t>
      </w:r>
      <w:r>
        <w:rPr>
          <w:rFonts w:eastAsia="仿宋_GB2312"/>
          <w:sz w:val="32"/>
          <w:szCs w:val="32"/>
        </w:rPr>
        <w:t>2</w:t>
      </w:r>
      <w:r>
        <w:rPr>
          <w:rFonts w:eastAsia="仿宋_GB2312"/>
          <w:sz w:val="32"/>
          <w:szCs w:val="32"/>
        </w:rPr>
        <w:t>个平台开采的；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）经风险评估存在一般风险点（区域）的。</w:t>
      </w:r>
    </w:p>
    <w:p w:rsidR="00363CC0" w:rsidRDefault="00F24112">
      <w:pPr>
        <w:adjustRightInd w:val="0"/>
        <w:snapToGrid w:val="0"/>
        <w:spacing w:line="500" w:lineRule="exact"/>
        <w:ind w:firstLineChars="200" w:firstLine="643"/>
        <w:textAlignment w:val="baseline"/>
        <w:rPr>
          <w:rFonts w:eastAsia="楷体_GB2312"/>
          <w:b/>
          <w:sz w:val="32"/>
          <w:szCs w:val="32"/>
        </w:rPr>
      </w:pPr>
      <w:r>
        <w:rPr>
          <w:rFonts w:eastAsia="楷体_GB2312"/>
          <w:b/>
          <w:sz w:val="32"/>
          <w:szCs w:val="32"/>
        </w:rPr>
        <w:t>4.</w:t>
      </w:r>
      <w:r>
        <w:rPr>
          <w:rFonts w:eastAsia="楷体_GB2312"/>
          <w:b/>
          <w:sz w:val="32"/>
          <w:szCs w:val="32"/>
        </w:rPr>
        <w:t>以下情形之一，判定为</w:t>
      </w:r>
      <w:r>
        <w:rPr>
          <w:rFonts w:eastAsia="楷体_GB2312"/>
          <w:b/>
          <w:sz w:val="32"/>
          <w:szCs w:val="32"/>
        </w:rPr>
        <w:t>A</w:t>
      </w:r>
      <w:r>
        <w:rPr>
          <w:rFonts w:eastAsia="楷体_GB2312"/>
          <w:b/>
          <w:sz w:val="32"/>
          <w:szCs w:val="32"/>
        </w:rPr>
        <w:t>类企业</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lastRenderedPageBreak/>
        <w:t>（</w:t>
      </w:r>
      <w:r>
        <w:rPr>
          <w:rFonts w:eastAsia="仿宋_GB2312"/>
          <w:sz w:val="32"/>
          <w:szCs w:val="32"/>
        </w:rPr>
        <w:t>1</w:t>
      </w:r>
      <w:r>
        <w:rPr>
          <w:rFonts w:eastAsia="仿宋_GB2312"/>
          <w:sz w:val="32"/>
          <w:szCs w:val="32"/>
        </w:rPr>
        <w:t>）停产、停建露天矿山；</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）实行全境界开采的；</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）经风险评估确定为低风险的。</w:t>
      </w:r>
    </w:p>
    <w:p w:rsidR="00363CC0" w:rsidRDefault="00F24112">
      <w:pPr>
        <w:adjustRightInd w:val="0"/>
        <w:snapToGrid w:val="0"/>
        <w:spacing w:line="500" w:lineRule="exact"/>
        <w:ind w:firstLineChars="200" w:firstLine="640"/>
        <w:textAlignment w:val="baseline"/>
        <w:rPr>
          <w:rFonts w:eastAsia="方正小标宋简体"/>
          <w:bCs/>
          <w:sz w:val="36"/>
          <w:szCs w:val="36"/>
        </w:rPr>
      </w:pPr>
      <w:r>
        <w:rPr>
          <w:rFonts w:eastAsia="仿宋_GB2312"/>
          <w:sz w:val="32"/>
          <w:szCs w:val="32"/>
        </w:rPr>
        <w:t>企业风险评定应遵循从严从高的原则，即企业同时存在两类以上风险等级的情形，应按照最高分类等级确定企业等级。</w:t>
      </w:r>
    </w:p>
    <w:p w:rsidR="00363CC0" w:rsidRDefault="00F24112">
      <w:pPr>
        <w:adjustRightInd w:val="0"/>
        <w:snapToGrid w:val="0"/>
        <w:spacing w:line="500" w:lineRule="exact"/>
        <w:ind w:firstLineChars="200" w:firstLine="640"/>
        <w:textAlignment w:val="baseline"/>
        <w:rPr>
          <w:rFonts w:eastAsia="黑体"/>
          <w:b/>
          <w:bCs/>
          <w:spacing w:val="-10"/>
          <w:sz w:val="32"/>
          <w:szCs w:val="32"/>
        </w:rPr>
      </w:pPr>
      <w:r>
        <w:rPr>
          <w:rFonts w:eastAsia="黑体"/>
          <w:bCs/>
          <w:sz w:val="32"/>
          <w:szCs w:val="32"/>
        </w:rPr>
        <w:t>三、</w:t>
      </w:r>
      <w:r>
        <w:rPr>
          <w:rFonts w:eastAsia="黑体"/>
          <w:bCs/>
          <w:spacing w:val="-10"/>
          <w:sz w:val="32"/>
          <w:szCs w:val="32"/>
        </w:rPr>
        <w:t>尾矿</w:t>
      </w:r>
      <w:proofErr w:type="gramStart"/>
      <w:r>
        <w:rPr>
          <w:rFonts w:eastAsia="黑体"/>
          <w:bCs/>
          <w:spacing w:val="-10"/>
          <w:sz w:val="32"/>
          <w:szCs w:val="32"/>
        </w:rPr>
        <w:t>库企业</w:t>
      </w:r>
      <w:proofErr w:type="gramEnd"/>
      <w:r>
        <w:rPr>
          <w:rFonts w:eastAsia="黑体"/>
          <w:bCs/>
          <w:spacing w:val="-10"/>
          <w:sz w:val="32"/>
          <w:szCs w:val="32"/>
        </w:rPr>
        <w:t>分类监管判定标准</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总体按照尾矿</w:t>
      </w:r>
      <w:proofErr w:type="gramStart"/>
      <w:r>
        <w:rPr>
          <w:rFonts w:eastAsia="仿宋_GB2312"/>
          <w:sz w:val="32"/>
          <w:szCs w:val="32"/>
        </w:rPr>
        <w:t>库运行</w:t>
      </w:r>
      <w:proofErr w:type="gramEnd"/>
      <w:r>
        <w:rPr>
          <w:rFonts w:eastAsia="仿宋_GB2312"/>
          <w:sz w:val="32"/>
          <w:szCs w:val="32"/>
        </w:rPr>
        <w:t>状态和安全状态进行划分，其中</w:t>
      </w:r>
      <w:r>
        <w:rPr>
          <w:rFonts w:eastAsia="仿宋_GB2312"/>
          <w:sz w:val="32"/>
          <w:szCs w:val="32"/>
        </w:rPr>
        <w:t>“</w:t>
      </w:r>
      <w:r>
        <w:rPr>
          <w:rFonts w:eastAsia="仿宋_GB2312"/>
          <w:sz w:val="32"/>
          <w:szCs w:val="32"/>
        </w:rPr>
        <w:t>头顶库</w:t>
      </w:r>
      <w:r>
        <w:rPr>
          <w:rFonts w:eastAsia="仿宋_GB2312"/>
          <w:sz w:val="32"/>
          <w:szCs w:val="32"/>
        </w:rPr>
        <w:t>”</w:t>
      </w:r>
      <w:r>
        <w:rPr>
          <w:rFonts w:eastAsia="仿宋_GB2312"/>
          <w:sz w:val="32"/>
          <w:szCs w:val="32"/>
        </w:rPr>
        <w:t>和回采库单独划分，具体判定标准如下：</w:t>
      </w:r>
    </w:p>
    <w:p w:rsidR="00363CC0" w:rsidRDefault="00F24112">
      <w:pPr>
        <w:adjustRightInd w:val="0"/>
        <w:snapToGrid w:val="0"/>
        <w:spacing w:line="500" w:lineRule="exact"/>
        <w:ind w:firstLineChars="200" w:firstLine="643"/>
        <w:textAlignment w:val="baseline"/>
        <w:rPr>
          <w:rFonts w:eastAsia="楷体_GB2312"/>
          <w:b/>
          <w:bCs/>
          <w:sz w:val="32"/>
          <w:szCs w:val="32"/>
        </w:rPr>
      </w:pPr>
      <w:r>
        <w:rPr>
          <w:rFonts w:eastAsia="楷体_GB2312"/>
          <w:b/>
          <w:bCs/>
          <w:sz w:val="32"/>
          <w:szCs w:val="32"/>
        </w:rPr>
        <w:t>1.“</w:t>
      </w:r>
      <w:r>
        <w:rPr>
          <w:rFonts w:eastAsia="楷体_GB2312"/>
          <w:b/>
          <w:bCs/>
          <w:sz w:val="32"/>
          <w:szCs w:val="32"/>
        </w:rPr>
        <w:t>头顶库</w:t>
      </w:r>
      <w:r>
        <w:rPr>
          <w:rFonts w:eastAsia="楷体_GB2312"/>
          <w:b/>
          <w:bCs/>
          <w:sz w:val="32"/>
          <w:szCs w:val="32"/>
        </w:rPr>
        <w:t>”</w:t>
      </w:r>
      <w:r>
        <w:rPr>
          <w:rFonts w:eastAsia="楷体_GB2312"/>
          <w:b/>
          <w:bCs/>
          <w:sz w:val="32"/>
          <w:szCs w:val="32"/>
        </w:rPr>
        <w:t>。</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）在用、停用、在回采库评定为</w:t>
      </w:r>
      <w:r>
        <w:rPr>
          <w:rFonts w:eastAsia="仿宋_GB2312"/>
          <w:sz w:val="32"/>
          <w:szCs w:val="32"/>
        </w:rPr>
        <w:t>D</w:t>
      </w:r>
      <w:r>
        <w:rPr>
          <w:rFonts w:eastAsia="仿宋_GB2312"/>
          <w:sz w:val="32"/>
          <w:szCs w:val="32"/>
        </w:rPr>
        <w:t>类。其中下游</w:t>
      </w:r>
      <w:r>
        <w:rPr>
          <w:rFonts w:eastAsia="仿宋_GB2312"/>
          <w:sz w:val="32"/>
          <w:szCs w:val="32"/>
        </w:rPr>
        <w:t>1</w:t>
      </w:r>
      <w:r>
        <w:rPr>
          <w:rFonts w:eastAsia="仿宋_GB2312"/>
          <w:sz w:val="32"/>
          <w:szCs w:val="32"/>
        </w:rPr>
        <w:t>公里流</w:t>
      </w:r>
      <w:proofErr w:type="gramStart"/>
      <w:r>
        <w:rPr>
          <w:rFonts w:eastAsia="仿宋_GB2312"/>
          <w:sz w:val="32"/>
          <w:szCs w:val="32"/>
        </w:rPr>
        <w:t>径范围</w:t>
      </w:r>
      <w:proofErr w:type="gramEnd"/>
      <w:r>
        <w:rPr>
          <w:rFonts w:eastAsia="仿宋_GB2312"/>
          <w:sz w:val="32"/>
          <w:szCs w:val="32"/>
        </w:rPr>
        <w:t>内居民人数在</w:t>
      </w:r>
      <w:r>
        <w:rPr>
          <w:rFonts w:eastAsia="仿宋_GB2312"/>
          <w:sz w:val="32"/>
          <w:szCs w:val="32"/>
        </w:rPr>
        <w:t>10</w:t>
      </w:r>
      <w:r>
        <w:rPr>
          <w:rFonts w:eastAsia="仿宋_GB2312"/>
          <w:sz w:val="32"/>
          <w:szCs w:val="32"/>
        </w:rPr>
        <w:t>人或</w:t>
      </w:r>
      <w:r>
        <w:rPr>
          <w:rFonts w:eastAsia="仿宋_GB2312"/>
          <w:sz w:val="32"/>
          <w:szCs w:val="32"/>
        </w:rPr>
        <w:t>3</w:t>
      </w:r>
      <w:r>
        <w:rPr>
          <w:rFonts w:eastAsia="仿宋_GB2312"/>
          <w:sz w:val="32"/>
          <w:szCs w:val="32"/>
        </w:rPr>
        <w:t>户以上，或者有工矿企业、集贸市场、休闲健身娱乐广场等人员密集场所，或者有饮用水源、水库，以及二级及以上等级公路、铁路等重要生产生活设施的为</w:t>
      </w:r>
      <w:r>
        <w:rPr>
          <w:rFonts w:eastAsia="仿宋_GB2312"/>
          <w:sz w:val="32"/>
          <w:szCs w:val="32"/>
        </w:rPr>
        <w:t>D1</w:t>
      </w:r>
      <w:r>
        <w:rPr>
          <w:rFonts w:eastAsia="仿宋_GB2312"/>
          <w:sz w:val="32"/>
          <w:szCs w:val="32"/>
        </w:rPr>
        <w:t>类；下游</w:t>
      </w:r>
      <w:r>
        <w:rPr>
          <w:rFonts w:eastAsia="仿宋_GB2312"/>
          <w:sz w:val="32"/>
          <w:szCs w:val="32"/>
        </w:rPr>
        <w:t>1</w:t>
      </w:r>
      <w:r>
        <w:rPr>
          <w:rFonts w:eastAsia="仿宋_GB2312"/>
          <w:sz w:val="32"/>
          <w:szCs w:val="32"/>
        </w:rPr>
        <w:t>公里流</w:t>
      </w:r>
      <w:proofErr w:type="gramStart"/>
      <w:r>
        <w:rPr>
          <w:rFonts w:eastAsia="仿宋_GB2312"/>
          <w:sz w:val="32"/>
          <w:szCs w:val="32"/>
        </w:rPr>
        <w:t>径范围</w:t>
      </w:r>
      <w:proofErr w:type="gramEnd"/>
      <w:r>
        <w:rPr>
          <w:rFonts w:eastAsia="仿宋_GB2312"/>
          <w:sz w:val="32"/>
          <w:szCs w:val="32"/>
        </w:rPr>
        <w:t>内居民人数</w:t>
      </w:r>
      <w:r>
        <w:rPr>
          <w:rFonts w:eastAsia="仿宋_GB2312"/>
          <w:sz w:val="32"/>
          <w:szCs w:val="32"/>
        </w:rPr>
        <w:t>3-9</w:t>
      </w:r>
      <w:r>
        <w:rPr>
          <w:rFonts w:eastAsia="仿宋_GB2312"/>
          <w:sz w:val="32"/>
          <w:szCs w:val="32"/>
        </w:rPr>
        <w:t>人或</w:t>
      </w:r>
      <w:r>
        <w:rPr>
          <w:rFonts w:eastAsia="仿宋_GB2312"/>
          <w:sz w:val="32"/>
          <w:szCs w:val="32"/>
        </w:rPr>
        <w:t>2</w:t>
      </w:r>
      <w:r>
        <w:rPr>
          <w:rFonts w:eastAsia="仿宋_GB2312"/>
          <w:sz w:val="32"/>
          <w:szCs w:val="32"/>
        </w:rPr>
        <w:t>户为</w:t>
      </w:r>
      <w:r>
        <w:rPr>
          <w:rFonts w:eastAsia="仿宋_GB2312"/>
          <w:sz w:val="32"/>
          <w:szCs w:val="32"/>
        </w:rPr>
        <w:t>D2</w:t>
      </w:r>
      <w:r>
        <w:rPr>
          <w:rFonts w:eastAsia="仿宋_GB2312"/>
          <w:sz w:val="32"/>
          <w:szCs w:val="32"/>
        </w:rPr>
        <w:t>类；下游</w:t>
      </w:r>
      <w:r>
        <w:rPr>
          <w:rFonts w:eastAsia="仿宋_GB2312"/>
          <w:sz w:val="32"/>
          <w:szCs w:val="32"/>
        </w:rPr>
        <w:t>1</w:t>
      </w:r>
      <w:r>
        <w:rPr>
          <w:rFonts w:eastAsia="仿宋_GB2312"/>
          <w:sz w:val="32"/>
          <w:szCs w:val="32"/>
        </w:rPr>
        <w:t>公里流</w:t>
      </w:r>
      <w:proofErr w:type="gramStart"/>
      <w:r>
        <w:rPr>
          <w:rFonts w:eastAsia="仿宋_GB2312"/>
          <w:sz w:val="32"/>
          <w:szCs w:val="32"/>
        </w:rPr>
        <w:t>径范围</w:t>
      </w:r>
      <w:proofErr w:type="gramEnd"/>
      <w:r>
        <w:rPr>
          <w:rFonts w:eastAsia="仿宋_GB2312"/>
          <w:sz w:val="32"/>
          <w:szCs w:val="32"/>
        </w:rPr>
        <w:t>内居民人数</w:t>
      </w:r>
      <w:r>
        <w:rPr>
          <w:rFonts w:eastAsia="仿宋_GB2312"/>
          <w:sz w:val="32"/>
          <w:szCs w:val="32"/>
        </w:rPr>
        <w:t>3</w:t>
      </w:r>
      <w:r>
        <w:rPr>
          <w:rFonts w:eastAsia="仿宋_GB2312"/>
          <w:sz w:val="32"/>
          <w:szCs w:val="32"/>
        </w:rPr>
        <w:t>人以下或</w:t>
      </w:r>
      <w:r>
        <w:rPr>
          <w:rFonts w:eastAsia="仿宋_GB2312"/>
          <w:sz w:val="32"/>
          <w:szCs w:val="32"/>
        </w:rPr>
        <w:t>1</w:t>
      </w:r>
      <w:r>
        <w:rPr>
          <w:rFonts w:eastAsia="仿宋_GB2312"/>
          <w:sz w:val="32"/>
          <w:szCs w:val="32"/>
        </w:rPr>
        <w:t>户为</w:t>
      </w:r>
      <w:r>
        <w:rPr>
          <w:rFonts w:eastAsia="仿宋_GB2312"/>
          <w:sz w:val="32"/>
          <w:szCs w:val="32"/>
        </w:rPr>
        <w:t>D3</w:t>
      </w:r>
      <w:r>
        <w:rPr>
          <w:rFonts w:eastAsia="仿宋_GB2312"/>
          <w:sz w:val="32"/>
          <w:szCs w:val="32"/>
        </w:rPr>
        <w:t>类。</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proofErr w:type="gramStart"/>
      <w:r>
        <w:rPr>
          <w:rFonts w:eastAsia="仿宋_GB2312"/>
          <w:sz w:val="32"/>
          <w:szCs w:val="32"/>
        </w:rPr>
        <w:t>正在闭库的</w:t>
      </w:r>
      <w:proofErr w:type="gramEnd"/>
      <w:r>
        <w:rPr>
          <w:rFonts w:eastAsia="仿宋_GB2312"/>
          <w:sz w:val="32"/>
          <w:szCs w:val="32"/>
        </w:rPr>
        <w:t>为</w:t>
      </w:r>
      <w:r>
        <w:rPr>
          <w:rFonts w:eastAsia="仿宋_GB2312"/>
          <w:sz w:val="32"/>
          <w:szCs w:val="32"/>
        </w:rPr>
        <w:t>C</w:t>
      </w:r>
      <w:r>
        <w:rPr>
          <w:rFonts w:eastAsia="仿宋_GB2312"/>
          <w:sz w:val="32"/>
          <w:szCs w:val="32"/>
        </w:rPr>
        <w:t>类，</w:t>
      </w:r>
      <w:proofErr w:type="gramStart"/>
      <w:r>
        <w:rPr>
          <w:rFonts w:eastAsia="仿宋_GB2312"/>
          <w:sz w:val="32"/>
          <w:szCs w:val="32"/>
        </w:rPr>
        <w:t>已闭库的</w:t>
      </w:r>
      <w:proofErr w:type="gramEnd"/>
      <w:r>
        <w:rPr>
          <w:rFonts w:eastAsia="仿宋_GB2312"/>
          <w:sz w:val="32"/>
          <w:szCs w:val="32"/>
        </w:rPr>
        <w:t>为</w:t>
      </w:r>
      <w:r>
        <w:rPr>
          <w:rFonts w:eastAsia="仿宋_GB2312"/>
          <w:sz w:val="32"/>
          <w:szCs w:val="32"/>
        </w:rPr>
        <w:t>B</w:t>
      </w:r>
      <w:r>
        <w:rPr>
          <w:rFonts w:eastAsia="仿宋_GB2312"/>
          <w:sz w:val="32"/>
          <w:szCs w:val="32"/>
        </w:rPr>
        <w:t>类。</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）在建、停建有尾砂但未达到初期坝标高的为</w:t>
      </w:r>
      <w:r>
        <w:rPr>
          <w:rFonts w:eastAsia="仿宋_GB2312"/>
          <w:sz w:val="32"/>
          <w:szCs w:val="32"/>
        </w:rPr>
        <w:t>B</w:t>
      </w:r>
      <w:r>
        <w:rPr>
          <w:rFonts w:eastAsia="仿宋_GB2312"/>
          <w:sz w:val="32"/>
          <w:szCs w:val="32"/>
        </w:rPr>
        <w:t>类，停建无尾砂的为</w:t>
      </w:r>
      <w:r>
        <w:rPr>
          <w:rFonts w:eastAsia="仿宋_GB2312"/>
          <w:sz w:val="32"/>
          <w:szCs w:val="32"/>
        </w:rPr>
        <w:t>A</w:t>
      </w:r>
      <w:r>
        <w:rPr>
          <w:rFonts w:eastAsia="仿宋_GB2312"/>
          <w:sz w:val="32"/>
          <w:szCs w:val="32"/>
        </w:rPr>
        <w:t>类。</w:t>
      </w:r>
    </w:p>
    <w:p w:rsidR="00363CC0" w:rsidRDefault="00F24112">
      <w:pPr>
        <w:adjustRightInd w:val="0"/>
        <w:snapToGrid w:val="0"/>
        <w:spacing w:line="500" w:lineRule="exact"/>
        <w:ind w:firstLineChars="200" w:firstLine="643"/>
        <w:textAlignment w:val="baseline"/>
        <w:rPr>
          <w:rFonts w:eastAsia="仿宋_GB2312"/>
          <w:sz w:val="32"/>
          <w:szCs w:val="32"/>
        </w:rPr>
      </w:pPr>
      <w:r>
        <w:rPr>
          <w:rFonts w:eastAsia="楷体_GB2312"/>
          <w:b/>
          <w:bCs/>
          <w:sz w:val="32"/>
          <w:szCs w:val="32"/>
        </w:rPr>
        <w:t>2.</w:t>
      </w:r>
      <w:r>
        <w:rPr>
          <w:rFonts w:eastAsia="楷体_GB2312"/>
          <w:b/>
          <w:bCs/>
          <w:sz w:val="32"/>
          <w:szCs w:val="32"/>
        </w:rPr>
        <w:t>回采库。</w:t>
      </w:r>
      <w:r>
        <w:rPr>
          <w:rFonts w:eastAsia="仿宋_GB2312"/>
          <w:sz w:val="32"/>
          <w:szCs w:val="32"/>
        </w:rPr>
        <w:t>二等、三等的为</w:t>
      </w:r>
      <w:r>
        <w:rPr>
          <w:rFonts w:eastAsia="仿宋_GB2312"/>
          <w:sz w:val="32"/>
          <w:szCs w:val="32"/>
        </w:rPr>
        <w:t>D3</w:t>
      </w:r>
      <w:r>
        <w:rPr>
          <w:rFonts w:eastAsia="仿宋_GB2312"/>
          <w:sz w:val="32"/>
          <w:szCs w:val="32"/>
        </w:rPr>
        <w:t>类，四等、五等的为</w:t>
      </w:r>
      <w:r>
        <w:rPr>
          <w:rFonts w:eastAsia="仿宋_GB2312"/>
          <w:sz w:val="32"/>
          <w:szCs w:val="32"/>
        </w:rPr>
        <w:t>C</w:t>
      </w:r>
      <w:r>
        <w:rPr>
          <w:rFonts w:eastAsia="仿宋_GB2312"/>
          <w:sz w:val="32"/>
          <w:szCs w:val="32"/>
        </w:rPr>
        <w:t>类。</w:t>
      </w:r>
    </w:p>
    <w:p w:rsidR="00363CC0" w:rsidRDefault="00F24112">
      <w:pPr>
        <w:adjustRightInd w:val="0"/>
        <w:snapToGrid w:val="0"/>
        <w:spacing w:line="500" w:lineRule="exact"/>
        <w:ind w:firstLineChars="200" w:firstLine="643"/>
        <w:textAlignment w:val="baseline"/>
        <w:rPr>
          <w:rFonts w:eastAsia="仿宋_GB2312"/>
          <w:sz w:val="32"/>
          <w:szCs w:val="32"/>
        </w:rPr>
      </w:pPr>
      <w:r>
        <w:rPr>
          <w:rFonts w:eastAsia="楷体_GB2312"/>
          <w:b/>
          <w:bCs/>
          <w:sz w:val="32"/>
          <w:szCs w:val="32"/>
        </w:rPr>
        <w:t>3.</w:t>
      </w:r>
      <w:r>
        <w:rPr>
          <w:rFonts w:eastAsia="楷体_GB2312"/>
          <w:b/>
          <w:bCs/>
          <w:sz w:val="32"/>
          <w:szCs w:val="32"/>
        </w:rPr>
        <w:t>在用库、停用库。</w:t>
      </w:r>
      <w:r>
        <w:rPr>
          <w:rFonts w:eastAsia="仿宋_GB2312"/>
          <w:sz w:val="32"/>
          <w:szCs w:val="32"/>
        </w:rPr>
        <w:t>二等、三等的为</w:t>
      </w:r>
      <w:r>
        <w:rPr>
          <w:rFonts w:eastAsia="仿宋_GB2312"/>
          <w:sz w:val="32"/>
          <w:szCs w:val="32"/>
        </w:rPr>
        <w:t>C</w:t>
      </w:r>
      <w:r>
        <w:rPr>
          <w:rFonts w:eastAsia="仿宋_GB2312"/>
          <w:sz w:val="32"/>
          <w:szCs w:val="32"/>
        </w:rPr>
        <w:t>类，四等、五等的为</w:t>
      </w:r>
      <w:r>
        <w:rPr>
          <w:rFonts w:eastAsia="仿宋_GB2312"/>
          <w:sz w:val="32"/>
          <w:szCs w:val="32"/>
        </w:rPr>
        <w:t>B</w:t>
      </w:r>
      <w:r>
        <w:rPr>
          <w:rFonts w:eastAsia="仿宋_GB2312"/>
          <w:sz w:val="32"/>
          <w:szCs w:val="32"/>
        </w:rPr>
        <w:t>类。</w:t>
      </w:r>
    </w:p>
    <w:p w:rsidR="00363CC0" w:rsidRDefault="00F24112">
      <w:pPr>
        <w:adjustRightInd w:val="0"/>
        <w:snapToGrid w:val="0"/>
        <w:spacing w:line="500" w:lineRule="exact"/>
        <w:ind w:firstLineChars="200" w:firstLine="643"/>
        <w:textAlignment w:val="baseline"/>
        <w:rPr>
          <w:rFonts w:eastAsia="仿宋_GB2312"/>
          <w:sz w:val="32"/>
          <w:szCs w:val="32"/>
        </w:rPr>
      </w:pPr>
      <w:r>
        <w:rPr>
          <w:rFonts w:eastAsia="楷体_GB2312"/>
          <w:b/>
          <w:bCs/>
          <w:sz w:val="32"/>
          <w:szCs w:val="32"/>
        </w:rPr>
        <w:t>4.</w:t>
      </w:r>
      <w:proofErr w:type="gramStart"/>
      <w:r>
        <w:rPr>
          <w:rFonts w:eastAsia="楷体_GB2312"/>
          <w:b/>
          <w:bCs/>
          <w:sz w:val="32"/>
          <w:szCs w:val="32"/>
        </w:rPr>
        <w:t>正在闭库的</w:t>
      </w:r>
      <w:proofErr w:type="gramEnd"/>
      <w:r>
        <w:rPr>
          <w:rFonts w:eastAsia="楷体_GB2312"/>
          <w:b/>
          <w:bCs/>
          <w:sz w:val="32"/>
          <w:szCs w:val="32"/>
        </w:rPr>
        <w:t>。</w:t>
      </w:r>
      <w:r>
        <w:rPr>
          <w:rFonts w:eastAsia="仿宋_GB2312"/>
          <w:sz w:val="32"/>
          <w:szCs w:val="32"/>
        </w:rPr>
        <w:t>除头顶库为</w:t>
      </w:r>
      <w:r>
        <w:rPr>
          <w:rFonts w:eastAsia="仿宋_GB2312"/>
          <w:sz w:val="32"/>
          <w:szCs w:val="32"/>
        </w:rPr>
        <w:t>C</w:t>
      </w:r>
      <w:r>
        <w:rPr>
          <w:rFonts w:eastAsia="仿宋_GB2312"/>
          <w:sz w:val="32"/>
          <w:szCs w:val="32"/>
        </w:rPr>
        <w:t>类外，都为</w:t>
      </w:r>
      <w:r>
        <w:rPr>
          <w:rFonts w:eastAsia="仿宋_GB2312"/>
          <w:sz w:val="32"/>
          <w:szCs w:val="32"/>
        </w:rPr>
        <w:t>B</w:t>
      </w:r>
      <w:r>
        <w:rPr>
          <w:rFonts w:eastAsia="仿宋_GB2312"/>
          <w:sz w:val="32"/>
          <w:szCs w:val="32"/>
        </w:rPr>
        <w:t>类。</w:t>
      </w:r>
    </w:p>
    <w:p w:rsidR="00363CC0" w:rsidRDefault="00F24112">
      <w:pPr>
        <w:adjustRightInd w:val="0"/>
        <w:snapToGrid w:val="0"/>
        <w:spacing w:line="500" w:lineRule="exact"/>
        <w:ind w:firstLineChars="200" w:firstLine="643"/>
        <w:textAlignment w:val="baseline"/>
        <w:rPr>
          <w:rFonts w:eastAsia="仿宋_GB2312"/>
          <w:sz w:val="32"/>
          <w:szCs w:val="32"/>
        </w:rPr>
      </w:pPr>
      <w:r>
        <w:rPr>
          <w:rFonts w:eastAsia="楷体_GB2312"/>
          <w:b/>
          <w:bCs/>
          <w:sz w:val="32"/>
          <w:szCs w:val="32"/>
        </w:rPr>
        <w:t>5.</w:t>
      </w:r>
      <w:r>
        <w:rPr>
          <w:rFonts w:eastAsia="楷体_GB2312"/>
          <w:b/>
          <w:bCs/>
          <w:sz w:val="32"/>
          <w:szCs w:val="32"/>
        </w:rPr>
        <w:t>在建库、停建库。</w:t>
      </w:r>
      <w:r>
        <w:rPr>
          <w:rFonts w:eastAsia="仿宋_GB2312"/>
          <w:sz w:val="32"/>
          <w:szCs w:val="32"/>
        </w:rPr>
        <w:t>有尾砂但未达到初期坝标高的为</w:t>
      </w:r>
      <w:r>
        <w:rPr>
          <w:rFonts w:eastAsia="仿宋_GB2312"/>
          <w:sz w:val="32"/>
          <w:szCs w:val="32"/>
        </w:rPr>
        <w:t>B</w:t>
      </w:r>
      <w:r>
        <w:rPr>
          <w:rFonts w:eastAsia="仿宋_GB2312"/>
          <w:sz w:val="32"/>
          <w:szCs w:val="32"/>
        </w:rPr>
        <w:t>类，无尾砂的为</w:t>
      </w:r>
      <w:r>
        <w:rPr>
          <w:rFonts w:eastAsia="仿宋_GB2312"/>
          <w:sz w:val="32"/>
          <w:szCs w:val="32"/>
        </w:rPr>
        <w:t>A</w:t>
      </w:r>
      <w:r>
        <w:rPr>
          <w:rFonts w:eastAsia="仿宋_GB2312"/>
          <w:sz w:val="32"/>
          <w:szCs w:val="32"/>
        </w:rPr>
        <w:t>类，加高扩容的按在用库定级。</w:t>
      </w:r>
    </w:p>
    <w:p w:rsidR="00363CC0" w:rsidRDefault="00F24112">
      <w:pPr>
        <w:adjustRightInd w:val="0"/>
        <w:snapToGrid w:val="0"/>
        <w:spacing w:line="500" w:lineRule="exact"/>
        <w:ind w:firstLineChars="200" w:firstLine="643"/>
        <w:textAlignment w:val="baseline"/>
        <w:rPr>
          <w:rFonts w:eastAsia="仿宋_GB2312"/>
          <w:sz w:val="32"/>
          <w:szCs w:val="32"/>
        </w:rPr>
      </w:pPr>
      <w:r>
        <w:rPr>
          <w:rFonts w:eastAsia="楷体_GB2312"/>
          <w:b/>
          <w:bCs/>
          <w:sz w:val="32"/>
          <w:szCs w:val="32"/>
        </w:rPr>
        <w:t>6.</w:t>
      </w:r>
      <w:proofErr w:type="gramStart"/>
      <w:r>
        <w:rPr>
          <w:rFonts w:eastAsia="楷体_GB2312"/>
          <w:b/>
          <w:bCs/>
          <w:sz w:val="32"/>
          <w:szCs w:val="32"/>
        </w:rPr>
        <w:t>已闭库的</w:t>
      </w:r>
      <w:proofErr w:type="gramEnd"/>
      <w:r>
        <w:rPr>
          <w:rFonts w:eastAsia="楷体_GB2312"/>
          <w:b/>
          <w:bCs/>
          <w:sz w:val="32"/>
          <w:szCs w:val="32"/>
        </w:rPr>
        <w:t>。</w:t>
      </w:r>
      <w:r>
        <w:rPr>
          <w:rFonts w:eastAsia="仿宋_GB2312"/>
          <w:sz w:val="32"/>
          <w:szCs w:val="32"/>
        </w:rPr>
        <w:t>定为</w:t>
      </w:r>
      <w:r>
        <w:rPr>
          <w:rFonts w:eastAsia="仿宋_GB2312"/>
          <w:sz w:val="32"/>
          <w:szCs w:val="32"/>
        </w:rPr>
        <w:t>A</w:t>
      </w:r>
      <w:r>
        <w:rPr>
          <w:rFonts w:eastAsia="仿宋_GB2312"/>
          <w:sz w:val="32"/>
          <w:szCs w:val="32"/>
        </w:rPr>
        <w:t>类。</w:t>
      </w:r>
    </w:p>
    <w:p w:rsidR="00363CC0" w:rsidRDefault="00F24112">
      <w:pPr>
        <w:adjustRightInd w:val="0"/>
        <w:snapToGrid w:val="0"/>
        <w:spacing w:line="500" w:lineRule="exact"/>
        <w:ind w:firstLineChars="200" w:firstLine="643"/>
        <w:textAlignment w:val="baseline"/>
        <w:rPr>
          <w:rFonts w:eastAsia="楷体_GB2312"/>
          <w:b/>
          <w:bCs/>
          <w:sz w:val="32"/>
          <w:szCs w:val="32"/>
        </w:rPr>
      </w:pPr>
      <w:r>
        <w:rPr>
          <w:rFonts w:eastAsia="楷体_GB2312"/>
          <w:b/>
          <w:bCs/>
          <w:sz w:val="32"/>
          <w:szCs w:val="32"/>
        </w:rPr>
        <w:lastRenderedPageBreak/>
        <w:t>7.</w:t>
      </w:r>
      <w:r>
        <w:rPr>
          <w:rFonts w:eastAsia="楷体_GB2312"/>
          <w:b/>
          <w:bCs/>
          <w:sz w:val="32"/>
          <w:szCs w:val="32"/>
        </w:rPr>
        <w:t>当尾矿库存在以下情况的，视危害程度直</w:t>
      </w:r>
      <w:r>
        <w:rPr>
          <w:rFonts w:eastAsia="楷体_GB2312"/>
          <w:b/>
          <w:bCs/>
          <w:sz w:val="32"/>
          <w:szCs w:val="32"/>
        </w:rPr>
        <w:t>接定为</w:t>
      </w:r>
      <w:r>
        <w:rPr>
          <w:rFonts w:eastAsia="楷体_GB2312"/>
          <w:b/>
          <w:bCs/>
          <w:sz w:val="32"/>
          <w:szCs w:val="32"/>
        </w:rPr>
        <w:t>D1-D3</w:t>
      </w:r>
      <w:r>
        <w:rPr>
          <w:rFonts w:eastAsia="楷体_GB2312"/>
          <w:b/>
          <w:bCs/>
          <w:sz w:val="32"/>
          <w:szCs w:val="32"/>
        </w:rPr>
        <w:t>类。</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）库区和尾矿坝上存在未按批准的设计方案进行开采、挖掘、爆破等活动。</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）坝体出现大面积纵向裂缝，且出现较大范围渗透水高位出逸，出现大面积沼泽化；</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）坝外坡坡</w:t>
      </w:r>
      <w:proofErr w:type="gramStart"/>
      <w:r>
        <w:rPr>
          <w:rFonts w:eastAsia="仿宋_GB2312"/>
          <w:sz w:val="32"/>
          <w:szCs w:val="32"/>
        </w:rPr>
        <w:t>比陡于</w:t>
      </w:r>
      <w:proofErr w:type="gramEnd"/>
      <w:r>
        <w:rPr>
          <w:rFonts w:eastAsia="仿宋_GB2312"/>
          <w:sz w:val="32"/>
          <w:szCs w:val="32"/>
        </w:rPr>
        <w:t>设计坡比；</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）坝体超过设计坝高，或者超设计库容贮存尾矿；</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）尾矿堆积</w:t>
      </w:r>
      <w:proofErr w:type="gramStart"/>
      <w:r>
        <w:rPr>
          <w:rFonts w:eastAsia="仿宋_GB2312"/>
          <w:sz w:val="32"/>
          <w:szCs w:val="32"/>
        </w:rPr>
        <w:t>坝上升</w:t>
      </w:r>
      <w:proofErr w:type="gramEnd"/>
      <w:r>
        <w:rPr>
          <w:rFonts w:eastAsia="仿宋_GB2312"/>
          <w:sz w:val="32"/>
          <w:szCs w:val="32"/>
        </w:rPr>
        <w:t>速率大于设计堆积上升速率；</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）经验算，坝体抗滑稳定最小安全系数小于表</w:t>
      </w:r>
      <w:r>
        <w:rPr>
          <w:rFonts w:eastAsia="仿宋_GB2312"/>
          <w:sz w:val="32"/>
          <w:szCs w:val="32"/>
        </w:rPr>
        <w:t>7</w:t>
      </w:r>
      <w:r>
        <w:rPr>
          <w:rFonts w:eastAsia="仿宋_GB2312"/>
          <w:sz w:val="32"/>
          <w:szCs w:val="32"/>
        </w:rPr>
        <w:t>规定值的</w:t>
      </w:r>
      <w:r>
        <w:rPr>
          <w:rFonts w:eastAsia="仿宋_GB2312"/>
          <w:sz w:val="32"/>
          <w:szCs w:val="32"/>
        </w:rPr>
        <w:t>0.98</w:t>
      </w:r>
      <w:r>
        <w:rPr>
          <w:rFonts w:eastAsia="仿宋_GB2312"/>
          <w:sz w:val="32"/>
          <w:szCs w:val="32"/>
        </w:rPr>
        <w:t>倍；</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）坝体浸润线埋深小于控制浸润线埋深；</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）尾矿库调洪库容不足，在设计洪水位时，安全</w:t>
      </w:r>
      <w:proofErr w:type="gramStart"/>
      <w:r>
        <w:rPr>
          <w:rFonts w:eastAsia="仿宋_GB2312"/>
          <w:sz w:val="32"/>
          <w:szCs w:val="32"/>
        </w:rPr>
        <w:t>超高和干滩</w:t>
      </w:r>
      <w:proofErr w:type="gramEnd"/>
      <w:r>
        <w:rPr>
          <w:rFonts w:eastAsia="仿宋_GB2312"/>
          <w:sz w:val="32"/>
          <w:szCs w:val="32"/>
        </w:rPr>
        <w:t>长度均不满足设计要求；</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）排洪设施部分堵塞或坍塌、排水井有所倾斜，排水能力有所降低，达不到设计要求；</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10</w:t>
      </w:r>
      <w:r>
        <w:rPr>
          <w:rFonts w:eastAsia="仿宋_GB2312"/>
          <w:sz w:val="32"/>
          <w:szCs w:val="32"/>
        </w:rPr>
        <w:t>）干式堆存尾矿的含水量大，实行干式堆存比较困难，且没有设置可靠的防范措施；</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11</w:t>
      </w:r>
      <w:r>
        <w:rPr>
          <w:rFonts w:eastAsia="仿宋_GB2312"/>
          <w:sz w:val="32"/>
          <w:szCs w:val="32"/>
        </w:rPr>
        <w:t>）多种矿石性质不同的尾砂混合排放时，未按设计要求进行排放；</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12</w:t>
      </w:r>
      <w:r>
        <w:rPr>
          <w:rFonts w:eastAsia="仿宋_GB2312"/>
          <w:sz w:val="32"/>
          <w:szCs w:val="32"/>
        </w:rPr>
        <w:t>）设计以外的尾矿、废料或者废水进库；</w:t>
      </w:r>
    </w:p>
    <w:p w:rsidR="00363CC0" w:rsidRDefault="00F24112">
      <w:pPr>
        <w:adjustRightInd w:val="0"/>
        <w:snapToGrid w:val="0"/>
        <w:spacing w:line="50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13</w:t>
      </w:r>
      <w:r>
        <w:rPr>
          <w:rFonts w:eastAsia="仿宋_GB2312"/>
          <w:sz w:val="32"/>
          <w:szCs w:val="32"/>
        </w:rPr>
        <w:t>）其他危及尾矿库安全运行的情况。</w:t>
      </w:r>
    </w:p>
    <w:p w:rsidR="00363CC0" w:rsidRDefault="00363CC0">
      <w:pPr>
        <w:adjustRightInd w:val="0"/>
        <w:snapToGrid w:val="0"/>
        <w:spacing w:line="500" w:lineRule="exact"/>
        <w:textAlignment w:val="baseline"/>
        <w:rPr>
          <w:rFonts w:eastAsia="仿宋_GB2312"/>
          <w:sz w:val="32"/>
          <w:szCs w:val="32"/>
        </w:rPr>
      </w:pPr>
    </w:p>
    <w:p w:rsidR="00363CC0" w:rsidRDefault="00363CC0">
      <w:pPr>
        <w:adjustRightInd w:val="0"/>
        <w:snapToGrid w:val="0"/>
        <w:spacing w:line="500" w:lineRule="exact"/>
        <w:textAlignment w:val="baseline"/>
        <w:rPr>
          <w:rFonts w:eastAsia="仿宋_GB2312"/>
          <w:sz w:val="32"/>
          <w:szCs w:val="32"/>
        </w:rPr>
      </w:pPr>
    </w:p>
    <w:p w:rsidR="00363CC0" w:rsidRDefault="00363CC0">
      <w:pPr>
        <w:adjustRightInd w:val="0"/>
        <w:snapToGrid w:val="0"/>
        <w:jc w:val="left"/>
        <w:textAlignment w:val="baseline"/>
        <w:rPr>
          <w:rFonts w:eastAsia="黑体"/>
          <w:sz w:val="32"/>
          <w:szCs w:val="32"/>
        </w:rPr>
      </w:pPr>
    </w:p>
    <w:p w:rsidR="00363CC0" w:rsidRDefault="00363CC0">
      <w:pPr>
        <w:adjustRightInd w:val="0"/>
        <w:snapToGrid w:val="0"/>
        <w:jc w:val="left"/>
        <w:textAlignment w:val="baseline"/>
        <w:rPr>
          <w:rFonts w:eastAsia="黑体"/>
          <w:sz w:val="32"/>
          <w:szCs w:val="32"/>
        </w:rPr>
        <w:sectPr w:rsidR="00363CC0">
          <w:pgSz w:w="11906" w:h="16838"/>
          <w:pgMar w:top="2098" w:right="1474" w:bottom="1984" w:left="1587" w:header="851" w:footer="992" w:gutter="0"/>
          <w:pgNumType w:fmt="numberInDash"/>
          <w:cols w:space="720"/>
          <w:docGrid w:linePitch="312"/>
        </w:sectPr>
      </w:pPr>
    </w:p>
    <w:p w:rsidR="00363CC0" w:rsidRDefault="00F24112">
      <w:pPr>
        <w:adjustRightInd w:val="0"/>
        <w:snapToGrid w:val="0"/>
        <w:jc w:val="left"/>
        <w:textAlignment w:val="baseline"/>
        <w:rPr>
          <w:rFonts w:eastAsia="黑体"/>
          <w:sz w:val="32"/>
          <w:szCs w:val="32"/>
        </w:rPr>
      </w:pPr>
      <w:r>
        <w:rPr>
          <w:rFonts w:eastAsia="黑体"/>
          <w:sz w:val="32"/>
          <w:szCs w:val="32"/>
        </w:rPr>
        <w:lastRenderedPageBreak/>
        <w:t>附件</w:t>
      </w:r>
      <w:r>
        <w:rPr>
          <w:rFonts w:eastAsia="黑体"/>
          <w:sz w:val="32"/>
          <w:szCs w:val="32"/>
        </w:rPr>
        <w:t>5</w:t>
      </w:r>
    </w:p>
    <w:p w:rsidR="00363CC0" w:rsidRDefault="00363CC0">
      <w:pPr>
        <w:adjustRightInd w:val="0"/>
        <w:snapToGrid w:val="0"/>
        <w:jc w:val="left"/>
        <w:textAlignment w:val="baseline"/>
        <w:rPr>
          <w:rFonts w:eastAsia="黑体"/>
          <w:sz w:val="32"/>
        </w:rPr>
      </w:pPr>
    </w:p>
    <w:p w:rsidR="00363CC0" w:rsidRDefault="00F24112">
      <w:pPr>
        <w:adjustRightInd w:val="0"/>
        <w:snapToGrid w:val="0"/>
        <w:jc w:val="center"/>
        <w:textAlignment w:val="baseline"/>
        <w:rPr>
          <w:rFonts w:eastAsia="方正小标宋简体"/>
          <w:bCs/>
          <w:kern w:val="0"/>
          <w:sz w:val="44"/>
          <w:szCs w:val="44"/>
        </w:rPr>
      </w:pPr>
      <w:r>
        <w:rPr>
          <w:rFonts w:eastAsia="方正小标宋简体"/>
          <w:bCs/>
          <w:kern w:val="0"/>
          <w:sz w:val="44"/>
          <w:szCs w:val="44"/>
        </w:rPr>
        <w:t xml:space="preserve">      </w:t>
      </w:r>
      <w:r>
        <w:rPr>
          <w:rFonts w:eastAsia="方正小标宋简体"/>
          <w:bCs/>
          <w:kern w:val="0"/>
          <w:sz w:val="44"/>
          <w:szCs w:val="44"/>
        </w:rPr>
        <w:t>市（州）非煤矿山企业</w:t>
      </w:r>
      <w:proofErr w:type="gramStart"/>
      <w:r>
        <w:rPr>
          <w:rFonts w:eastAsia="方正小标宋简体"/>
          <w:bCs/>
          <w:kern w:val="0"/>
          <w:sz w:val="44"/>
          <w:szCs w:val="44"/>
        </w:rPr>
        <w:t>分类台</w:t>
      </w:r>
      <w:proofErr w:type="gramEnd"/>
      <w:r>
        <w:rPr>
          <w:rFonts w:eastAsia="方正小标宋简体"/>
          <w:bCs/>
          <w:kern w:val="0"/>
          <w:sz w:val="44"/>
          <w:szCs w:val="44"/>
        </w:rPr>
        <w:t>账</w:t>
      </w:r>
    </w:p>
    <w:p w:rsidR="00363CC0" w:rsidRDefault="00363CC0">
      <w:pPr>
        <w:adjustRightInd w:val="0"/>
        <w:snapToGrid w:val="0"/>
        <w:jc w:val="center"/>
        <w:textAlignment w:val="baseline"/>
        <w:rPr>
          <w:rFonts w:eastAsia="方正小标宋简体"/>
          <w:sz w:val="36"/>
          <w:szCs w:val="36"/>
        </w:rPr>
      </w:pPr>
    </w:p>
    <w:p w:rsidR="00363CC0" w:rsidRDefault="00F24112">
      <w:pPr>
        <w:adjustRightInd w:val="0"/>
        <w:snapToGrid w:val="0"/>
        <w:jc w:val="left"/>
        <w:textAlignment w:val="baseline"/>
        <w:rPr>
          <w:rFonts w:eastAsia="仿宋_GB2312"/>
          <w:sz w:val="32"/>
          <w:szCs w:val="32"/>
        </w:rPr>
      </w:pPr>
      <w:r>
        <w:rPr>
          <w:rFonts w:eastAsia="仿宋_GB2312"/>
          <w:sz w:val="32"/>
          <w:szCs w:val="32"/>
        </w:rPr>
        <w:t>填报单位：</w:t>
      </w:r>
      <w:r>
        <w:rPr>
          <w:rFonts w:eastAsia="仿宋_GB2312"/>
          <w:sz w:val="32"/>
          <w:szCs w:val="32"/>
        </w:rPr>
        <w:t xml:space="preserve">                            </w:t>
      </w:r>
      <w:r>
        <w:rPr>
          <w:rFonts w:eastAsia="仿宋_GB2312"/>
          <w:sz w:val="32"/>
          <w:szCs w:val="32"/>
        </w:rPr>
        <w:t>填报时间：</w:t>
      </w:r>
    </w:p>
    <w:p w:rsidR="00363CC0" w:rsidRDefault="00363CC0">
      <w:pPr>
        <w:adjustRightInd w:val="0"/>
        <w:snapToGrid w:val="0"/>
        <w:jc w:val="left"/>
        <w:textAlignment w:val="baseline"/>
        <w:rPr>
          <w:rFonts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126"/>
        <w:gridCol w:w="1985"/>
        <w:gridCol w:w="1559"/>
        <w:gridCol w:w="3260"/>
        <w:gridCol w:w="3403"/>
      </w:tblGrid>
      <w:tr w:rsidR="00363CC0">
        <w:trPr>
          <w:jc w:val="center"/>
        </w:trPr>
        <w:tc>
          <w:tcPr>
            <w:tcW w:w="997" w:type="dxa"/>
            <w:vAlign w:val="center"/>
          </w:tcPr>
          <w:p w:rsidR="00363CC0" w:rsidRDefault="00F24112">
            <w:pPr>
              <w:adjustRightInd w:val="0"/>
              <w:snapToGrid w:val="0"/>
              <w:spacing w:line="520" w:lineRule="exact"/>
              <w:jc w:val="center"/>
              <w:textAlignment w:val="baseline"/>
              <w:rPr>
                <w:rFonts w:eastAsia="仿宋_GB2312"/>
                <w:b/>
                <w:bCs/>
                <w:sz w:val="32"/>
                <w:szCs w:val="32"/>
              </w:rPr>
            </w:pPr>
            <w:r>
              <w:rPr>
                <w:rFonts w:eastAsia="仿宋_GB2312"/>
                <w:b/>
                <w:bCs/>
                <w:sz w:val="32"/>
                <w:szCs w:val="32"/>
              </w:rPr>
              <w:t>序号</w:t>
            </w:r>
          </w:p>
        </w:tc>
        <w:tc>
          <w:tcPr>
            <w:tcW w:w="2126" w:type="dxa"/>
            <w:vAlign w:val="center"/>
          </w:tcPr>
          <w:p w:rsidR="00363CC0" w:rsidRDefault="00F24112">
            <w:pPr>
              <w:adjustRightInd w:val="0"/>
              <w:snapToGrid w:val="0"/>
              <w:spacing w:line="520" w:lineRule="exact"/>
              <w:jc w:val="center"/>
              <w:textAlignment w:val="baseline"/>
              <w:rPr>
                <w:rFonts w:eastAsia="仿宋_GB2312"/>
                <w:b/>
                <w:bCs/>
                <w:sz w:val="32"/>
                <w:szCs w:val="32"/>
              </w:rPr>
            </w:pPr>
            <w:r>
              <w:rPr>
                <w:rFonts w:eastAsia="仿宋_GB2312"/>
                <w:b/>
                <w:bCs/>
                <w:sz w:val="32"/>
                <w:szCs w:val="32"/>
              </w:rPr>
              <w:t>企业名称</w:t>
            </w:r>
          </w:p>
        </w:tc>
        <w:tc>
          <w:tcPr>
            <w:tcW w:w="1985" w:type="dxa"/>
            <w:vAlign w:val="center"/>
          </w:tcPr>
          <w:p w:rsidR="00363CC0" w:rsidRDefault="00F24112">
            <w:pPr>
              <w:adjustRightInd w:val="0"/>
              <w:snapToGrid w:val="0"/>
              <w:spacing w:line="520" w:lineRule="exact"/>
              <w:jc w:val="center"/>
              <w:textAlignment w:val="baseline"/>
              <w:rPr>
                <w:rFonts w:eastAsia="仿宋_GB2312"/>
                <w:b/>
                <w:bCs/>
                <w:sz w:val="32"/>
                <w:szCs w:val="32"/>
              </w:rPr>
            </w:pPr>
            <w:r>
              <w:rPr>
                <w:rFonts w:eastAsia="仿宋_GB2312"/>
                <w:b/>
                <w:bCs/>
                <w:sz w:val="32"/>
                <w:szCs w:val="32"/>
              </w:rPr>
              <w:t>单位地址</w:t>
            </w:r>
          </w:p>
        </w:tc>
        <w:tc>
          <w:tcPr>
            <w:tcW w:w="1559" w:type="dxa"/>
            <w:vAlign w:val="center"/>
          </w:tcPr>
          <w:p w:rsidR="00363CC0" w:rsidRDefault="00F24112">
            <w:pPr>
              <w:adjustRightInd w:val="0"/>
              <w:snapToGrid w:val="0"/>
              <w:spacing w:line="520" w:lineRule="exact"/>
              <w:jc w:val="center"/>
              <w:textAlignment w:val="baseline"/>
              <w:rPr>
                <w:rFonts w:eastAsia="仿宋_GB2312"/>
                <w:b/>
                <w:bCs/>
                <w:sz w:val="32"/>
                <w:szCs w:val="32"/>
              </w:rPr>
            </w:pPr>
            <w:r>
              <w:rPr>
                <w:rFonts w:eastAsia="仿宋_GB2312"/>
                <w:b/>
                <w:bCs/>
                <w:sz w:val="32"/>
                <w:szCs w:val="32"/>
              </w:rPr>
              <w:t>分类等级</w:t>
            </w:r>
          </w:p>
        </w:tc>
        <w:tc>
          <w:tcPr>
            <w:tcW w:w="3260" w:type="dxa"/>
            <w:vAlign w:val="center"/>
          </w:tcPr>
          <w:p w:rsidR="00363CC0" w:rsidRDefault="00F24112">
            <w:pPr>
              <w:adjustRightInd w:val="0"/>
              <w:snapToGrid w:val="0"/>
              <w:spacing w:line="520" w:lineRule="exact"/>
              <w:jc w:val="center"/>
              <w:textAlignment w:val="baseline"/>
              <w:rPr>
                <w:rFonts w:eastAsia="仿宋_GB2312"/>
                <w:b/>
                <w:bCs/>
                <w:sz w:val="32"/>
                <w:szCs w:val="32"/>
              </w:rPr>
            </w:pPr>
            <w:r>
              <w:rPr>
                <w:rFonts w:eastAsia="仿宋_GB2312"/>
                <w:b/>
                <w:bCs/>
                <w:sz w:val="32"/>
                <w:szCs w:val="32"/>
              </w:rPr>
              <w:t>主要风险点</w:t>
            </w:r>
          </w:p>
        </w:tc>
        <w:tc>
          <w:tcPr>
            <w:tcW w:w="3403" w:type="dxa"/>
            <w:vAlign w:val="center"/>
          </w:tcPr>
          <w:p w:rsidR="00363CC0" w:rsidRDefault="00F24112">
            <w:pPr>
              <w:adjustRightInd w:val="0"/>
              <w:snapToGrid w:val="0"/>
              <w:spacing w:line="520" w:lineRule="exact"/>
              <w:jc w:val="center"/>
              <w:textAlignment w:val="baseline"/>
              <w:rPr>
                <w:rFonts w:eastAsia="仿宋_GB2312"/>
                <w:b/>
                <w:bCs/>
                <w:sz w:val="32"/>
                <w:szCs w:val="32"/>
              </w:rPr>
            </w:pPr>
            <w:r>
              <w:rPr>
                <w:rFonts w:eastAsia="仿宋_GB2312"/>
                <w:b/>
                <w:bCs/>
                <w:sz w:val="32"/>
                <w:szCs w:val="32"/>
              </w:rPr>
              <w:t>管控措施</w:t>
            </w:r>
          </w:p>
        </w:tc>
      </w:tr>
      <w:tr w:rsidR="00363CC0">
        <w:trPr>
          <w:jc w:val="center"/>
        </w:trPr>
        <w:tc>
          <w:tcPr>
            <w:tcW w:w="997" w:type="dxa"/>
          </w:tcPr>
          <w:p w:rsidR="00363CC0" w:rsidRDefault="00363CC0">
            <w:pPr>
              <w:adjustRightInd w:val="0"/>
              <w:snapToGrid w:val="0"/>
              <w:spacing w:line="520" w:lineRule="exact"/>
              <w:jc w:val="left"/>
              <w:textAlignment w:val="baseline"/>
              <w:rPr>
                <w:rFonts w:eastAsia="仿宋_GB2312"/>
                <w:sz w:val="32"/>
                <w:szCs w:val="32"/>
              </w:rPr>
            </w:pPr>
          </w:p>
        </w:tc>
        <w:tc>
          <w:tcPr>
            <w:tcW w:w="2126" w:type="dxa"/>
          </w:tcPr>
          <w:p w:rsidR="00363CC0" w:rsidRDefault="00363CC0">
            <w:pPr>
              <w:adjustRightInd w:val="0"/>
              <w:snapToGrid w:val="0"/>
              <w:spacing w:line="520" w:lineRule="exact"/>
              <w:jc w:val="left"/>
              <w:textAlignment w:val="baseline"/>
              <w:rPr>
                <w:rFonts w:eastAsia="仿宋_GB2312"/>
                <w:sz w:val="32"/>
                <w:szCs w:val="32"/>
              </w:rPr>
            </w:pPr>
          </w:p>
        </w:tc>
        <w:tc>
          <w:tcPr>
            <w:tcW w:w="1985" w:type="dxa"/>
          </w:tcPr>
          <w:p w:rsidR="00363CC0" w:rsidRDefault="00363CC0">
            <w:pPr>
              <w:adjustRightInd w:val="0"/>
              <w:snapToGrid w:val="0"/>
              <w:spacing w:line="520" w:lineRule="exact"/>
              <w:jc w:val="left"/>
              <w:textAlignment w:val="baseline"/>
              <w:rPr>
                <w:rFonts w:eastAsia="仿宋_GB2312"/>
                <w:sz w:val="32"/>
                <w:szCs w:val="32"/>
              </w:rPr>
            </w:pPr>
          </w:p>
        </w:tc>
        <w:tc>
          <w:tcPr>
            <w:tcW w:w="1559" w:type="dxa"/>
          </w:tcPr>
          <w:p w:rsidR="00363CC0" w:rsidRDefault="00363CC0">
            <w:pPr>
              <w:adjustRightInd w:val="0"/>
              <w:snapToGrid w:val="0"/>
              <w:spacing w:line="520" w:lineRule="exact"/>
              <w:jc w:val="left"/>
              <w:textAlignment w:val="baseline"/>
              <w:rPr>
                <w:rFonts w:eastAsia="仿宋_GB2312"/>
                <w:sz w:val="32"/>
                <w:szCs w:val="32"/>
              </w:rPr>
            </w:pPr>
          </w:p>
        </w:tc>
        <w:tc>
          <w:tcPr>
            <w:tcW w:w="3260" w:type="dxa"/>
          </w:tcPr>
          <w:p w:rsidR="00363CC0" w:rsidRDefault="00363CC0">
            <w:pPr>
              <w:adjustRightInd w:val="0"/>
              <w:snapToGrid w:val="0"/>
              <w:spacing w:line="520" w:lineRule="exact"/>
              <w:jc w:val="left"/>
              <w:textAlignment w:val="baseline"/>
              <w:rPr>
                <w:rFonts w:eastAsia="仿宋_GB2312"/>
                <w:sz w:val="32"/>
                <w:szCs w:val="32"/>
              </w:rPr>
            </w:pPr>
          </w:p>
        </w:tc>
        <w:tc>
          <w:tcPr>
            <w:tcW w:w="3403" w:type="dxa"/>
          </w:tcPr>
          <w:p w:rsidR="00363CC0" w:rsidRDefault="00363CC0">
            <w:pPr>
              <w:adjustRightInd w:val="0"/>
              <w:snapToGrid w:val="0"/>
              <w:spacing w:line="520" w:lineRule="exact"/>
              <w:jc w:val="left"/>
              <w:textAlignment w:val="baseline"/>
              <w:rPr>
                <w:rFonts w:eastAsia="仿宋_GB2312"/>
                <w:sz w:val="32"/>
                <w:szCs w:val="32"/>
              </w:rPr>
            </w:pPr>
          </w:p>
        </w:tc>
      </w:tr>
      <w:tr w:rsidR="00363CC0">
        <w:trPr>
          <w:jc w:val="center"/>
        </w:trPr>
        <w:tc>
          <w:tcPr>
            <w:tcW w:w="997" w:type="dxa"/>
          </w:tcPr>
          <w:p w:rsidR="00363CC0" w:rsidRDefault="00363CC0">
            <w:pPr>
              <w:adjustRightInd w:val="0"/>
              <w:snapToGrid w:val="0"/>
              <w:spacing w:line="520" w:lineRule="exact"/>
              <w:jc w:val="left"/>
              <w:textAlignment w:val="baseline"/>
              <w:rPr>
                <w:rFonts w:eastAsia="仿宋_GB2312"/>
                <w:sz w:val="32"/>
                <w:szCs w:val="32"/>
              </w:rPr>
            </w:pPr>
          </w:p>
        </w:tc>
        <w:tc>
          <w:tcPr>
            <w:tcW w:w="2126" w:type="dxa"/>
          </w:tcPr>
          <w:p w:rsidR="00363CC0" w:rsidRDefault="00363CC0">
            <w:pPr>
              <w:adjustRightInd w:val="0"/>
              <w:snapToGrid w:val="0"/>
              <w:spacing w:line="520" w:lineRule="exact"/>
              <w:jc w:val="left"/>
              <w:textAlignment w:val="baseline"/>
              <w:rPr>
                <w:rFonts w:eastAsia="仿宋_GB2312"/>
                <w:sz w:val="32"/>
                <w:szCs w:val="32"/>
              </w:rPr>
            </w:pPr>
          </w:p>
        </w:tc>
        <w:tc>
          <w:tcPr>
            <w:tcW w:w="1985" w:type="dxa"/>
          </w:tcPr>
          <w:p w:rsidR="00363CC0" w:rsidRDefault="00363CC0">
            <w:pPr>
              <w:adjustRightInd w:val="0"/>
              <w:snapToGrid w:val="0"/>
              <w:spacing w:line="520" w:lineRule="exact"/>
              <w:jc w:val="left"/>
              <w:textAlignment w:val="baseline"/>
              <w:rPr>
                <w:rFonts w:eastAsia="仿宋_GB2312"/>
                <w:sz w:val="32"/>
                <w:szCs w:val="32"/>
              </w:rPr>
            </w:pPr>
          </w:p>
        </w:tc>
        <w:tc>
          <w:tcPr>
            <w:tcW w:w="1559" w:type="dxa"/>
          </w:tcPr>
          <w:p w:rsidR="00363CC0" w:rsidRDefault="00363CC0">
            <w:pPr>
              <w:adjustRightInd w:val="0"/>
              <w:snapToGrid w:val="0"/>
              <w:spacing w:line="520" w:lineRule="exact"/>
              <w:jc w:val="left"/>
              <w:textAlignment w:val="baseline"/>
              <w:rPr>
                <w:rFonts w:eastAsia="仿宋_GB2312"/>
                <w:sz w:val="32"/>
                <w:szCs w:val="32"/>
              </w:rPr>
            </w:pPr>
          </w:p>
        </w:tc>
        <w:tc>
          <w:tcPr>
            <w:tcW w:w="3260" w:type="dxa"/>
          </w:tcPr>
          <w:p w:rsidR="00363CC0" w:rsidRDefault="00363CC0">
            <w:pPr>
              <w:adjustRightInd w:val="0"/>
              <w:snapToGrid w:val="0"/>
              <w:spacing w:line="520" w:lineRule="exact"/>
              <w:jc w:val="left"/>
              <w:textAlignment w:val="baseline"/>
              <w:rPr>
                <w:rFonts w:eastAsia="仿宋_GB2312"/>
                <w:sz w:val="32"/>
                <w:szCs w:val="32"/>
              </w:rPr>
            </w:pPr>
          </w:p>
        </w:tc>
        <w:tc>
          <w:tcPr>
            <w:tcW w:w="3403" w:type="dxa"/>
          </w:tcPr>
          <w:p w:rsidR="00363CC0" w:rsidRDefault="00363CC0">
            <w:pPr>
              <w:adjustRightInd w:val="0"/>
              <w:snapToGrid w:val="0"/>
              <w:spacing w:line="520" w:lineRule="exact"/>
              <w:jc w:val="left"/>
              <w:textAlignment w:val="baseline"/>
              <w:rPr>
                <w:rFonts w:eastAsia="仿宋_GB2312"/>
                <w:sz w:val="32"/>
                <w:szCs w:val="32"/>
              </w:rPr>
            </w:pPr>
          </w:p>
        </w:tc>
      </w:tr>
      <w:tr w:rsidR="00363CC0">
        <w:trPr>
          <w:jc w:val="center"/>
        </w:trPr>
        <w:tc>
          <w:tcPr>
            <w:tcW w:w="997" w:type="dxa"/>
          </w:tcPr>
          <w:p w:rsidR="00363CC0" w:rsidRDefault="00363CC0">
            <w:pPr>
              <w:adjustRightInd w:val="0"/>
              <w:snapToGrid w:val="0"/>
              <w:spacing w:line="520" w:lineRule="exact"/>
              <w:jc w:val="left"/>
              <w:textAlignment w:val="baseline"/>
              <w:rPr>
                <w:rFonts w:eastAsia="仿宋_GB2312"/>
                <w:sz w:val="32"/>
                <w:szCs w:val="32"/>
              </w:rPr>
            </w:pPr>
          </w:p>
        </w:tc>
        <w:tc>
          <w:tcPr>
            <w:tcW w:w="2126" w:type="dxa"/>
          </w:tcPr>
          <w:p w:rsidR="00363CC0" w:rsidRDefault="00363CC0">
            <w:pPr>
              <w:adjustRightInd w:val="0"/>
              <w:snapToGrid w:val="0"/>
              <w:spacing w:line="520" w:lineRule="exact"/>
              <w:jc w:val="left"/>
              <w:textAlignment w:val="baseline"/>
              <w:rPr>
                <w:rFonts w:eastAsia="仿宋_GB2312"/>
                <w:sz w:val="32"/>
                <w:szCs w:val="32"/>
              </w:rPr>
            </w:pPr>
          </w:p>
        </w:tc>
        <w:tc>
          <w:tcPr>
            <w:tcW w:w="1985" w:type="dxa"/>
          </w:tcPr>
          <w:p w:rsidR="00363CC0" w:rsidRDefault="00363CC0">
            <w:pPr>
              <w:adjustRightInd w:val="0"/>
              <w:snapToGrid w:val="0"/>
              <w:spacing w:line="520" w:lineRule="exact"/>
              <w:jc w:val="left"/>
              <w:textAlignment w:val="baseline"/>
              <w:rPr>
                <w:rFonts w:eastAsia="仿宋_GB2312"/>
                <w:sz w:val="32"/>
                <w:szCs w:val="32"/>
              </w:rPr>
            </w:pPr>
          </w:p>
        </w:tc>
        <w:tc>
          <w:tcPr>
            <w:tcW w:w="1559" w:type="dxa"/>
          </w:tcPr>
          <w:p w:rsidR="00363CC0" w:rsidRDefault="00363CC0">
            <w:pPr>
              <w:adjustRightInd w:val="0"/>
              <w:snapToGrid w:val="0"/>
              <w:spacing w:line="520" w:lineRule="exact"/>
              <w:jc w:val="left"/>
              <w:textAlignment w:val="baseline"/>
              <w:rPr>
                <w:rFonts w:eastAsia="仿宋_GB2312"/>
                <w:sz w:val="32"/>
                <w:szCs w:val="32"/>
              </w:rPr>
            </w:pPr>
          </w:p>
        </w:tc>
        <w:tc>
          <w:tcPr>
            <w:tcW w:w="3260" w:type="dxa"/>
          </w:tcPr>
          <w:p w:rsidR="00363CC0" w:rsidRDefault="00363CC0">
            <w:pPr>
              <w:adjustRightInd w:val="0"/>
              <w:snapToGrid w:val="0"/>
              <w:spacing w:line="520" w:lineRule="exact"/>
              <w:jc w:val="left"/>
              <w:textAlignment w:val="baseline"/>
              <w:rPr>
                <w:rFonts w:eastAsia="仿宋_GB2312"/>
                <w:sz w:val="32"/>
                <w:szCs w:val="32"/>
              </w:rPr>
            </w:pPr>
          </w:p>
        </w:tc>
        <w:tc>
          <w:tcPr>
            <w:tcW w:w="3403" w:type="dxa"/>
          </w:tcPr>
          <w:p w:rsidR="00363CC0" w:rsidRDefault="00363CC0">
            <w:pPr>
              <w:adjustRightInd w:val="0"/>
              <w:snapToGrid w:val="0"/>
              <w:spacing w:line="520" w:lineRule="exact"/>
              <w:jc w:val="left"/>
              <w:textAlignment w:val="baseline"/>
              <w:rPr>
                <w:rFonts w:eastAsia="仿宋_GB2312"/>
                <w:sz w:val="32"/>
                <w:szCs w:val="32"/>
              </w:rPr>
            </w:pPr>
          </w:p>
        </w:tc>
      </w:tr>
      <w:tr w:rsidR="00363CC0">
        <w:trPr>
          <w:jc w:val="center"/>
        </w:trPr>
        <w:tc>
          <w:tcPr>
            <w:tcW w:w="997" w:type="dxa"/>
          </w:tcPr>
          <w:p w:rsidR="00363CC0" w:rsidRDefault="00363CC0">
            <w:pPr>
              <w:adjustRightInd w:val="0"/>
              <w:snapToGrid w:val="0"/>
              <w:spacing w:line="520" w:lineRule="exact"/>
              <w:jc w:val="left"/>
              <w:textAlignment w:val="baseline"/>
              <w:rPr>
                <w:rFonts w:eastAsia="仿宋_GB2312"/>
                <w:sz w:val="32"/>
                <w:szCs w:val="32"/>
              </w:rPr>
            </w:pPr>
          </w:p>
        </w:tc>
        <w:tc>
          <w:tcPr>
            <w:tcW w:w="2126" w:type="dxa"/>
          </w:tcPr>
          <w:p w:rsidR="00363CC0" w:rsidRDefault="00363CC0">
            <w:pPr>
              <w:adjustRightInd w:val="0"/>
              <w:snapToGrid w:val="0"/>
              <w:spacing w:line="520" w:lineRule="exact"/>
              <w:jc w:val="left"/>
              <w:textAlignment w:val="baseline"/>
              <w:rPr>
                <w:rFonts w:eastAsia="仿宋_GB2312"/>
                <w:sz w:val="32"/>
                <w:szCs w:val="32"/>
              </w:rPr>
            </w:pPr>
          </w:p>
        </w:tc>
        <w:tc>
          <w:tcPr>
            <w:tcW w:w="1985" w:type="dxa"/>
          </w:tcPr>
          <w:p w:rsidR="00363CC0" w:rsidRDefault="00363CC0">
            <w:pPr>
              <w:adjustRightInd w:val="0"/>
              <w:snapToGrid w:val="0"/>
              <w:spacing w:line="520" w:lineRule="exact"/>
              <w:jc w:val="left"/>
              <w:textAlignment w:val="baseline"/>
              <w:rPr>
                <w:rFonts w:eastAsia="仿宋_GB2312"/>
                <w:sz w:val="32"/>
                <w:szCs w:val="32"/>
              </w:rPr>
            </w:pPr>
          </w:p>
        </w:tc>
        <w:tc>
          <w:tcPr>
            <w:tcW w:w="1559" w:type="dxa"/>
          </w:tcPr>
          <w:p w:rsidR="00363CC0" w:rsidRDefault="00363CC0">
            <w:pPr>
              <w:adjustRightInd w:val="0"/>
              <w:snapToGrid w:val="0"/>
              <w:spacing w:line="520" w:lineRule="exact"/>
              <w:jc w:val="left"/>
              <w:textAlignment w:val="baseline"/>
              <w:rPr>
                <w:rFonts w:eastAsia="仿宋_GB2312"/>
                <w:sz w:val="32"/>
                <w:szCs w:val="32"/>
              </w:rPr>
            </w:pPr>
          </w:p>
        </w:tc>
        <w:tc>
          <w:tcPr>
            <w:tcW w:w="3260" w:type="dxa"/>
          </w:tcPr>
          <w:p w:rsidR="00363CC0" w:rsidRDefault="00363CC0">
            <w:pPr>
              <w:adjustRightInd w:val="0"/>
              <w:snapToGrid w:val="0"/>
              <w:spacing w:line="520" w:lineRule="exact"/>
              <w:jc w:val="left"/>
              <w:textAlignment w:val="baseline"/>
              <w:rPr>
                <w:rFonts w:eastAsia="仿宋_GB2312"/>
                <w:sz w:val="32"/>
                <w:szCs w:val="32"/>
              </w:rPr>
            </w:pPr>
          </w:p>
        </w:tc>
        <w:tc>
          <w:tcPr>
            <w:tcW w:w="3403" w:type="dxa"/>
          </w:tcPr>
          <w:p w:rsidR="00363CC0" w:rsidRDefault="00363CC0">
            <w:pPr>
              <w:adjustRightInd w:val="0"/>
              <w:snapToGrid w:val="0"/>
              <w:spacing w:line="520" w:lineRule="exact"/>
              <w:jc w:val="left"/>
              <w:textAlignment w:val="baseline"/>
              <w:rPr>
                <w:rFonts w:eastAsia="仿宋_GB2312"/>
                <w:sz w:val="32"/>
                <w:szCs w:val="32"/>
              </w:rPr>
            </w:pPr>
          </w:p>
        </w:tc>
      </w:tr>
      <w:tr w:rsidR="00363CC0">
        <w:trPr>
          <w:jc w:val="center"/>
        </w:trPr>
        <w:tc>
          <w:tcPr>
            <w:tcW w:w="997" w:type="dxa"/>
          </w:tcPr>
          <w:p w:rsidR="00363CC0" w:rsidRDefault="00363CC0">
            <w:pPr>
              <w:adjustRightInd w:val="0"/>
              <w:snapToGrid w:val="0"/>
              <w:spacing w:line="520" w:lineRule="exact"/>
              <w:jc w:val="left"/>
              <w:textAlignment w:val="baseline"/>
              <w:rPr>
                <w:rFonts w:eastAsia="仿宋_GB2312"/>
                <w:sz w:val="32"/>
                <w:szCs w:val="32"/>
              </w:rPr>
            </w:pPr>
          </w:p>
        </w:tc>
        <w:tc>
          <w:tcPr>
            <w:tcW w:w="2126" w:type="dxa"/>
          </w:tcPr>
          <w:p w:rsidR="00363CC0" w:rsidRDefault="00363CC0">
            <w:pPr>
              <w:adjustRightInd w:val="0"/>
              <w:snapToGrid w:val="0"/>
              <w:spacing w:line="520" w:lineRule="exact"/>
              <w:jc w:val="left"/>
              <w:textAlignment w:val="baseline"/>
              <w:rPr>
                <w:rFonts w:eastAsia="仿宋_GB2312"/>
                <w:sz w:val="32"/>
                <w:szCs w:val="32"/>
              </w:rPr>
            </w:pPr>
          </w:p>
        </w:tc>
        <w:tc>
          <w:tcPr>
            <w:tcW w:w="1985" w:type="dxa"/>
          </w:tcPr>
          <w:p w:rsidR="00363CC0" w:rsidRDefault="00363CC0">
            <w:pPr>
              <w:adjustRightInd w:val="0"/>
              <w:snapToGrid w:val="0"/>
              <w:spacing w:line="520" w:lineRule="exact"/>
              <w:jc w:val="left"/>
              <w:textAlignment w:val="baseline"/>
              <w:rPr>
                <w:rFonts w:eastAsia="仿宋_GB2312"/>
                <w:sz w:val="32"/>
                <w:szCs w:val="32"/>
              </w:rPr>
            </w:pPr>
          </w:p>
        </w:tc>
        <w:tc>
          <w:tcPr>
            <w:tcW w:w="1559" w:type="dxa"/>
          </w:tcPr>
          <w:p w:rsidR="00363CC0" w:rsidRDefault="00363CC0">
            <w:pPr>
              <w:adjustRightInd w:val="0"/>
              <w:snapToGrid w:val="0"/>
              <w:spacing w:line="520" w:lineRule="exact"/>
              <w:jc w:val="left"/>
              <w:textAlignment w:val="baseline"/>
              <w:rPr>
                <w:rFonts w:eastAsia="仿宋_GB2312"/>
                <w:sz w:val="32"/>
                <w:szCs w:val="32"/>
              </w:rPr>
            </w:pPr>
          </w:p>
        </w:tc>
        <w:tc>
          <w:tcPr>
            <w:tcW w:w="3260" w:type="dxa"/>
          </w:tcPr>
          <w:p w:rsidR="00363CC0" w:rsidRDefault="00363CC0">
            <w:pPr>
              <w:adjustRightInd w:val="0"/>
              <w:snapToGrid w:val="0"/>
              <w:spacing w:line="520" w:lineRule="exact"/>
              <w:jc w:val="left"/>
              <w:textAlignment w:val="baseline"/>
              <w:rPr>
                <w:rFonts w:eastAsia="仿宋_GB2312"/>
                <w:sz w:val="32"/>
                <w:szCs w:val="32"/>
              </w:rPr>
            </w:pPr>
          </w:p>
        </w:tc>
        <w:tc>
          <w:tcPr>
            <w:tcW w:w="3403" w:type="dxa"/>
          </w:tcPr>
          <w:p w:rsidR="00363CC0" w:rsidRDefault="00363CC0">
            <w:pPr>
              <w:adjustRightInd w:val="0"/>
              <w:snapToGrid w:val="0"/>
              <w:spacing w:line="520" w:lineRule="exact"/>
              <w:jc w:val="left"/>
              <w:textAlignment w:val="baseline"/>
              <w:rPr>
                <w:rFonts w:eastAsia="仿宋_GB2312"/>
                <w:sz w:val="32"/>
                <w:szCs w:val="32"/>
              </w:rPr>
            </w:pPr>
          </w:p>
        </w:tc>
      </w:tr>
      <w:tr w:rsidR="00363CC0">
        <w:trPr>
          <w:jc w:val="center"/>
        </w:trPr>
        <w:tc>
          <w:tcPr>
            <w:tcW w:w="997" w:type="dxa"/>
          </w:tcPr>
          <w:p w:rsidR="00363CC0" w:rsidRDefault="00363CC0">
            <w:pPr>
              <w:adjustRightInd w:val="0"/>
              <w:snapToGrid w:val="0"/>
              <w:spacing w:line="520" w:lineRule="exact"/>
              <w:jc w:val="left"/>
              <w:textAlignment w:val="baseline"/>
              <w:rPr>
                <w:rFonts w:eastAsia="仿宋_GB2312"/>
                <w:sz w:val="32"/>
                <w:szCs w:val="32"/>
              </w:rPr>
            </w:pPr>
          </w:p>
        </w:tc>
        <w:tc>
          <w:tcPr>
            <w:tcW w:w="2126" w:type="dxa"/>
          </w:tcPr>
          <w:p w:rsidR="00363CC0" w:rsidRDefault="00363CC0">
            <w:pPr>
              <w:adjustRightInd w:val="0"/>
              <w:snapToGrid w:val="0"/>
              <w:spacing w:line="520" w:lineRule="exact"/>
              <w:jc w:val="left"/>
              <w:textAlignment w:val="baseline"/>
              <w:rPr>
                <w:rFonts w:eastAsia="仿宋_GB2312"/>
                <w:sz w:val="32"/>
                <w:szCs w:val="32"/>
              </w:rPr>
            </w:pPr>
          </w:p>
        </w:tc>
        <w:tc>
          <w:tcPr>
            <w:tcW w:w="1985" w:type="dxa"/>
          </w:tcPr>
          <w:p w:rsidR="00363CC0" w:rsidRDefault="00363CC0">
            <w:pPr>
              <w:adjustRightInd w:val="0"/>
              <w:snapToGrid w:val="0"/>
              <w:spacing w:line="520" w:lineRule="exact"/>
              <w:jc w:val="left"/>
              <w:textAlignment w:val="baseline"/>
              <w:rPr>
                <w:rFonts w:eastAsia="仿宋_GB2312"/>
                <w:sz w:val="32"/>
                <w:szCs w:val="32"/>
              </w:rPr>
            </w:pPr>
          </w:p>
        </w:tc>
        <w:tc>
          <w:tcPr>
            <w:tcW w:w="1559" w:type="dxa"/>
          </w:tcPr>
          <w:p w:rsidR="00363CC0" w:rsidRDefault="00363CC0">
            <w:pPr>
              <w:adjustRightInd w:val="0"/>
              <w:snapToGrid w:val="0"/>
              <w:spacing w:line="520" w:lineRule="exact"/>
              <w:jc w:val="left"/>
              <w:textAlignment w:val="baseline"/>
              <w:rPr>
                <w:rFonts w:eastAsia="仿宋_GB2312"/>
                <w:sz w:val="32"/>
                <w:szCs w:val="32"/>
              </w:rPr>
            </w:pPr>
          </w:p>
        </w:tc>
        <w:tc>
          <w:tcPr>
            <w:tcW w:w="3260" w:type="dxa"/>
          </w:tcPr>
          <w:p w:rsidR="00363CC0" w:rsidRDefault="00363CC0">
            <w:pPr>
              <w:adjustRightInd w:val="0"/>
              <w:snapToGrid w:val="0"/>
              <w:spacing w:line="520" w:lineRule="exact"/>
              <w:jc w:val="left"/>
              <w:textAlignment w:val="baseline"/>
              <w:rPr>
                <w:rFonts w:eastAsia="仿宋_GB2312"/>
                <w:sz w:val="32"/>
                <w:szCs w:val="32"/>
              </w:rPr>
            </w:pPr>
          </w:p>
        </w:tc>
        <w:tc>
          <w:tcPr>
            <w:tcW w:w="3403" w:type="dxa"/>
          </w:tcPr>
          <w:p w:rsidR="00363CC0" w:rsidRDefault="00363CC0">
            <w:pPr>
              <w:adjustRightInd w:val="0"/>
              <w:snapToGrid w:val="0"/>
              <w:spacing w:line="520" w:lineRule="exact"/>
              <w:jc w:val="left"/>
              <w:textAlignment w:val="baseline"/>
              <w:rPr>
                <w:rFonts w:eastAsia="仿宋_GB2312"/>
                <w:sz w:val="32"/>
                <w:szCs w:val="32"/>
              </w:rPr>
            </w:pPr>
          </w:p>
        </w:tc>
      </w:tr>
      <w:tr w:rsidR="00363CC0">
        <w:trPr>
          <w:jc w:val="center"/>
        </w:trPr>
        <w:tc>
          <w:tcPr>
            <w:tcW w:w="997" w:type="dxa"/>
          </w:tcPr>
          <w:p w:rsidR="00363CC0" w:rsidRDefault="00363CC0">
            <w:pPr>
              <w:adjustRightInd w:val="0"/>
              <w:snapToGrid w:val="0"/>
              <w:spacing w:line="520" w:lineRule="exact"/>
              <w:jc w:val="left"/>
              <w:textAlignment w:val="baseline"/>
              <w:rPr>
                <w:rFonts w:eastAsia="仿宋_GB2312"/>
                <w:sz w:val="32"/>
                <w:szCs w:val="32"/>
              </w:rPr>
            </w:pPr>
          </w:p>
        </w:tc>
        <w:tc>
          <w:tcPr>
            <w:tcW w:w="2126" w:type="dxa"/>
          </w:tcPr>
          <w:p w:rsidR="00363CC0" w:rsidRDefault="00363CC0">
            <w:pPr>
              <w:adjustRightInd w:val="0"/>
              <w:snapToGrid w:val="0"/>
              <w:spacing w:line="520" w:lineRule="exact"/>
              <w:jc w:val="left"/>
              <w:textAlignment w:val="baseline"/>
              <w:rPr>
                <w:rFonts w:eastAsia="仿宋_GB2312"/>
                <w:sz w:val="32"/>
                <w:szCs w:val="32"/>
              </w:rPr>
            </w:pPr>
          </w:p>
        </w:tc>
        <w:tc>
          <w:tcPr>
            <w:tcW w:w="1985" w:type="dxa"/>
          </w:tcPr>
          <w:p w:rsidR="00363CC0" w:rsidRDefault="00363CC0">
            <w:pPr>
              <w:adjustRightInd w:val="0"/>
              <w:snapToGrid w:val="0"/>
              <w:spacing w:line="520" w:lineRule="exact"/>
              <w:jc w:val="left"/>
              <w:textAlignment w:val="baseline"/>
              <w:rPr>
                <w:rFonts w:eastAsia="仿宋_GB2312"/>
                <w:sz w:val="32"/>
                <w:szCs w:val="32"/>
              </w:rPr>
            </w:pPr>
          </w:p>
        </w:tc>
        <w:tc>
          <w:tcPr>
            <w:tcW w:w="1559" w:type="dxa"/>
          </w:tcPr>
          <w:p w:rsidR="00363CC0" w:rsidRDefault="00363CC0">
            <w:pPr>
              <w:adjustRightInd w:val="0"/>
              <w:snapToGrid w:val="0"/>
              <w:spacing w:line="520" w:lineRule="exact"/>
              <w:jc w:val="left"/>
              <w:textAlignment w:val="baseline"/>
              <w:rPr>
                <w:rFonts w:eastAsia="仿宋_GB2312"/>
                <w:sz w:val="32"/>
                <w:szCs w:val="32"/>
              </w:rPr>
            </w:pPr>
          </w:p>
        </w:tc>
        <w:tc>
          <w:tcPr>
            <w:tcW w:w="3260" w:type="dxa"/>
          </w:tcPr>
          <w:p w:rsidR="00363CC0" w:rsidRDefault="00363CC0">
            <w:pPr>
              <w:adjustRightInd w:val="0"/>
              <w:snapToGrid w:val="0"/>
              <w:spacing w:line="520" w:lineRule="exact"/>
              <w:jc w:val="left"/>
              <w:textAlignment w:val="baseline"/>
              <w:rPr>
                <w:rFonts w:eastAsia="仿宋_GB2312"/>
                <w:sz w:val="32"/>
                <w:szCs w:val="32"/>
              </w:rPr>
            </w:pPr>
          </w:p>
        </w:tc>
        <w:tc>
          <w:tcPr>
            <w:tcW w:w="3403" w:type="dxa"/>
          </w:tcPr>
          <w:p w:rsidR="00363CC0" w:rsidRDefault="00363CC0">
            <w:pPr>
              <w:adjustRightInd w:val="0"/>
              <w:snapToGrid w:val="0"/>
              <w:spacing w:line="520" w:lineRule="exact"/>
              <w:jc w:val="left"/>
              <w:textAlignment w:val="baseline"/>
              <w:rPr>
                <w:rFonts w:eastAsia="仿宋_GB2312"/>
                <w:sz w:val="32"/>
                <w:szCs w:val="32"/>
              </w:rPr>
            </w:pPr>
          </w:p>
        </w:tc>
      </w:tr>
    </w:tbl>
    <w:p w:rsidR="00363CC0" w:rsidRDefault="00363CC0">
      <w:pPr>
        <w:adjustRightInd w:val="0"/>
        <w:snapToGrid w:val="0"/>
        <w:spacing w:line="500" w:lineRule="exact"/>
        <w:textAlignment w:val="baseline"/>
        <w:rPr>
          <w:rFonts w:eastAsia="仿宋_GB2312"/>
          <w:sz w:val="32"/>
          <w:szCs w:val="32"/>
        </w:rPr>
      </w:pPr>
    </w:p>
    <w:p w:rsidR="00363CC0" w:rsidRDefault="00363CC0">
      <w:pPr>
        <w:adjustRightInd w:val="0"/>
        <w:snapToGrid w:val="0"/>
        <w:spacing w:line="500" w:lineRule="exact"/>
        <w:textAlignment w:val="baseline"/>
        <w:rPr>
          <w:rFonts w:eastAsia="仿宋_GB2312"/>
          <w:sz w:val="32"/>
          <w:szCs w:val="32"/>
        </w:rPr>
        <w:sectPr w:rsidR="00363CC0">
          <w:pgSz w:w="16838" w:h="11906" w:orient="landscape"/>
          <w:pgMar w:top="2098" w:right="1474" w:bottom="1984" w:left="1587" w:header="851" w:footer="992" w:gutter="0"/>
          <w:pgNumType w:fmt="numberInDash"/>
          <w:cols w:space="720"/>
          <w:docGrid w:linePitch="312"/>
        </w:sectPr>
      </w:pPr>
    </w:p>
    <w:p w:rsidR="00363CC0" w:rsidRDefault="00F24112">
      <w:pPr>
        <w:adjustRightInd w:val="0"/>
        <w:snapToGrid w:val="0"/>
        <w:jc w:val="left"/>
        <w:textAlignment w:val="baseline"/>
        <w:rPr>
          <w:rFonts w:eastAsia="黑体"/>
          <w:sz w:val="32"/>
          <w:szCs w:val="32"/>
        </w:rPr>
      </w:pPr>
      <w:r>
        <w:rPr>
          <w:rFonts w:eastAsia="黑体"/>
          <w:sz w:val="32"/>
          <w:szCs w:val="32"/>
        </w:rPr>
        <w:lastRenderedPageBreak/>
        <w:t>附件</w:t>
      </w:r>
      <w:r>
        <w:rPr>
          <w:rFonts w:eastAsia="黑体"/>
          <w:sz w:val="32"/>
          <w:szCs w:val="32"/>
        </w:rPr>
        <w:t>6</w:t>
      </w:r>
    </w:p>
    <w:p w:rsidR="00363CC0" w:rsidRDefault="00363CC0">
      <w:pPr>
        <w:adjustRightInd w:val="0"/>
        <w:snapToGrid w:val="0"/>
        <w:jc w:val="left"/>
        <w:textAlignment w:val="baseline"/>
        <w:rPr>
          <w:rFonts w:eastAsia="黑体"/>
          <w:sz w:val="32"/>
          <w:szCs w:val="32"/>
        </w:rPr>
      </w:pPr>
    </w:p>
    <w:p w:rsidR="00363CC0" w:rsidRDefault="00F24112">
      <w:pPr>
        <w:adjustRightInd w:val="0"/>
        <w:snapToGrid w:val="0"/>
        <w:jc w:val="center"/>
        <w:textAlignment w:val="baseline"/>
        <w:rPr>
          <w:rFonts w:eastAsia="方正小标宋简体"/>
          <w:bCs/>
          <w:kern w:val="0"/>
          <w:sz w:val="44"/>
          <w:szCs w:val="44"/>
        </w:rPr>
      </w:pPr>
      <w:r>
        <w:rPr>
          <w:rFonts w:eastAsia="方正小标宋简体"/>
          <w:bCs/>
          <w:kern w:val="0"/>
          <w:sz w:val="44"/>
          <w:szCs w:val="44"/>
        </w:rPr>
        <w:t>非煤矿山企业安全风险管</w:t>
      </w:r>
      <w:proofErr w:type="gramStart"/>
      <w:r>
        <w:rPr>
          <w:rFonts w:eastAsia="方正小标宋简体"/>
          <w:bCs/>
          <w:kern w:val="0"/>
          <w:sz w:val="44"/>
          <w:szCs w:val="44"/>
        </w:rPr>
        <w:t>控基本</w:t>
      </w:r>
      <w:proofErr w:type="gramEnd"/>
      <w:r>
        <w:rPr>
          <w:rFonts w:eastAsia="方正小标宋简体"/>
          <w:bCs/>
          <w:kern w:val="0"/>
          <w:sz w:val="44"/>
          <w:szCs w:val="44"/>
        </w:rPr>
        <w:t>要求表</w:t>
      </w:r>
    </w:p>
    <w:p w:rsidR="00363CC0" w:rsidRDefault="00363CC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6946"/>
      </w:tblGrid>
      <w:tr w:rsidR="00363CC0">
        <w:trPr>
          <w:trHeight w:val="509"/>
        </w:trPr>
        <w:tc>
          <w:tcPr>
            <w:tcW w:w="817" w:type="dxa"/>
            <w:vAlign w:val="center"/>
          </w:tcPr>
          <w:p w:rsidR="00363CC0" w:rsidRDefault="00F24112">
            <w:pPr>
              <w:adjustRightInd w:val="0"/>
              <w:snapToGrid w:val="0"/>
              <w:jc w:val="center"/>
              <w:rPr>
                <w:b/>
                <w:szCs w:val="22"/>
              </w:rPr>
            </w:pPr>
            <w:r>
              <w:rPr>
                <w:b/>
                <w:szCs w:val="22"/>
              </w:rPr>
              <w:t>项目</w:t>
            </w:r>
          </w:p>
        </w:tc>
        <w:tc>
          <w:tcPr>
            <w:tcW w:w="1559" w:type="dxa"/>
            <w:vAlign w:val="center"/>
          </w:tcPr>
          <w:p w:rsidR="00363CC0" w:rsidRDefault="00F24112">
            <w:pPr>
              <w:adjustRightInd w:val="0"/>
              <w:snapToGrid w:val="0"/>
              <w:jc w:val="center"/>
              <w:rPr>
                <w:b/>
                <w:szCs w:val="22"/>
              </w:rPr>
            </w:pPr>
            <w:r>
              <w:rPr>
                <w:b/>
                <w:szCs w:val="22"/>
              </w:rPr>
              <w:t>项目内容</w:t>
            </w:r>
          </w:p>
        </w:tc>
        <w:tc>
          <w:tcPr>
            <w:tcW w:w="6946" w:type="dxa"/>
            <w:vAlign w:val="center"/>
          </w:tcPr>
          <w:p w:rsidR="00363CC0" w:rsidRDefault="00F24112">
            <w:pPr>
              <w:adjustRightInd w:val="0"/>
              <w:snapToGrid w:val="0"/>
              <w:jc w:val="center"/>
              <w:rPr>
                <w:b/>
                <w:szCs w:val="22"/>
              </w:rPr>
            </w:pPr>
            <w:r>
              <w:rPr>
                <w:b/>
                <w:szCs w:val="22"/>
              </w:rPr>
              <w:t>基本要求</w:t>
            </w:r>
          </w:p>
        </w:tc>
      </w:tr>
      <w:tr w:rsidR="00363CC0">
        <w:trPr>
          <w:trHeight w:val="495"/>
        </w:trPr>
        <w:tc>
          <w:tcPr>
            <w:tcW w:w="817" w:type="dxa"/>
            <w:vMerge w:val="restart"/>
            <w:vAlign w:val="center"/>
          </w:tcPr>
          <w:p w:rsidR="00363CC0" w:rsidRDefault="00F24112">
            <w:pPr>
              <w:adjustRightInd w:val="0"/>
              <w:snapToGrid w:val="0"/>
              <w:jc w:val="center"/>
              <w:rPr>
                <w:szCs w:val="22"/>
              </w:rPr>
            </w:pPr>
            <w:r>
              <w:rPr>
                <w:szCs w:val="22"/>
              </w:rPr>
              <w:t>一、工作机制</w:t>
            </w:r>
          </w:p>
        </w:tc>
        <w:tc>
          <w:tcPr>
            <w:tcW w:w="1559" w:type="dxa"/>
            <w:vAlign w:val="center"/>
          </w:tcPr>
          <w:p w:rsidR="00363CC0" w:rsidRDefault="00F24112">
            <w:pPr>
              <w:adjustRightInd w:val="0"/>
              <w:snapToGrid w:val="0"/>
              <w:jc w:val="center"/>
              <w:rPr>
                <w:szCs w:val="22"/>
              </w:rPr>
            </w:pPr>
            <w:r>
              <w:rPr>
                <w:szCs w:val="22"/>
              </w:rPr>
              <w:t>职责分工</w:t>
            </w:r>
          </w:p>
        </w:tc>
        <w:tc>
          <w:tcPr>
            <w:tcW w:w="6946" w:type="dxa"/>
            <w:vAlign w:val="center"/>
          </w:tcPr>
          <w:p w:rsidR="00363CC0" w:rsidRDefault="00F24112">
            <w:pPr>
              <w:adjustRightInd w:val="0"/>
              <w:snapToGrid w:val="0"/>
              <w:rPr>
                <w:szCs w:val="22"/>
              </w:rPr>
            </w:pPr>
            <w:r>
              <w:rPr>
                <w:szCs w:val="22"/>
              </w:rPr>
              <w:t>建立安全风险分级管控工作责任体系，主要负责人全面负责，分管负责人负责分管范围内的安全风险分级管控工作；副总工程师、部门、工区安全风险分级管控的职责明确。</w:t>
            </w:r>
          </w:p>
        </w:tc>
      </w:tr>
      <w:tr w:rsidR="00363CC0">
        <w:trPr>
          <w:trHeight w:val="426"/>
        </w:trPr>
        <w:tc>
          <w:tcPr>
            <w:tcW w:w="817" w:type="dxa"/>
            <w:vMerge/>
            <w:vAlign w:val="center"/>
          </w:tcPr>
          <w:p w:rsidR="00363CC0" w:rsidRDefault="00363CC0">
            <w:pPr>
              <w:adjustRightInd w:val="0"/>
              <w:snapToGrid w:val="0"/>
              <w:jc w:val="center"/>
              <w:rPr>
                <w:szCs w:val="22"/>
              </w:rPr>
            </w:pPr>
          </w:p>
        </w:tc>
        <w:tc>
          <w:tcPr>
            <w:tcW w:w="1559" w:type="dxa"/>
            <w:vAlign w:val="center"/>
          </w:tcPr>
          <w:p w:rsidR="00363CC0" w:rsidRDefault="00F24112">
            <w:pPr>
              <w:adjustRightInd w:val="0"/>
              <w:snapToGrid w:val="0"/>
              <w:jc w:val="center"/>
              <w:rPr>
                <w:szCs w:val="22"/>
              </w:rPr>
            </w:pPr>
            <w:r>
              <w:rPr>
                <w:szCs w:val="22"/>
              </w:rPr>
              <w:t>制度建设</w:t>
            </w:r>
          </w:p>
        </w:tc>
        <w:tc>
          <w:tcPr>
            <w:tcW w:w="6946" w:type="dxa"/>
            <w:vAlign w:val="center"/>
          </w:tcPr>
          <w:p w:rsidR="00363CC0" w:rsidRDefault="00F24112">
            <w:pPr>
              <w:adjustRightInd w:val="0"/>
              <w:snapToGrid w:val="0"/>
              <w:rPr>
                <w:szCs w:val="22"/>
              </w:rPr>
            </w:pPr>
            <w:r>
              <w:rPr>
                <w:szCs w:val="22"/>
              </w:rPr>
              <w:t>建立安全风险分级管控工作制度，明确安全风险辨识评估范围、方法和安全风险的辨识、评估、管控、公告、报告工作流程。</w:t>
            </w:r>
          </w:p>
        </w:tc>
      </w:tr>
      <w:tr w:rsidR="00363CC0">
        <w:trPr>
          <w:trHeight w:val="4155"/>
        </w:trPr>
        <w:tc>
          <w:tcPr>
            <w:tcW w:w="817" w:type="dxa"/>
            <w:vMerge w:val="restart"/>
            <w:vAlign w:val="center"/>
          </w:tcPr>
          <w:p w:rsidR="00363CC0" w:rsidRDefault="00F24112">
            <w:pPr>
              <w:adjustRightInd w:val="0"/>
              <w:snapToGrid w:val="0"/>
              <w:jc w:val="center"/>
              <w:rPr>
                <w:szCs w:val="22"/>
              </w:rPr>
            </w:pPr>
            <w:r>
              <w:rPr>
                <w:szCs w:val="22"/>
              </w:rPr>
              <w:t>二、安全风险辨识评估</w:t>
            </w:r>
          </w:p>
        </w:tc>
        <w:tc>
          <w:tcPr>
            <w:tcW w:w="1559" w:type="dxa"/>
            <w:vAlign w:val="center"/>
          </w:tcPr>
          <w:p w:rsidR="00363CC0" w:rsidRDefault="00F24112">
            <w:pPr>
              <w:adjustRightInd w:val="0"/>
              <w:snapToGrid w:val="0"/>
              <w:jc w:val="center"/>
              <w:rPr>
                <w:szCs w:val="22"/>
              </w:rPr>
            </w:pPr>
            <w:r>
              <w:rPr>
                <w:szCs w:val="22"/>
              </w:rPr>
              <w:t>年度辨识评估</w:t>
            </w:r>
          </w:p>
        </w:tc>
        <w:tc>
          <w:tcPr>
            <w:tcW w:w="6946" w:type="dxa"/>
            <w:vAlign w:val="center"/>
          </w:tcPr>
          <w:p w:rsidR="00363CC0" w:rsidRDefault="00F24112">
            <w:pPr>
              <w:adjustRightInd w:val="0"/>
              <w:snapToGrid w:val="0"/>
              <w:rPr>
                <w:szCs w:val="22"/>
              </w:rPr>
            </w:pPr>
            <w:r>
              <w:rPr>
                <w:szCs w:val="22"/>
              </w:rPr>
              <w:t>1.</w:t>
            </w:r>
            <w:r>
              <w:rPr>
                <w:szCs w:val="22"/>
              </w:rPr>
              <w:t>主要负责人组织各分管负责人、副总工程师、相关部门和工区进行年度安全风险辨识评估，重点对辨识炸药库，地下矿山通风、防治水、顶板、提升运输系统，露天矿山边坡、爆破及尾矿库排水系统、坝体等容易导致群死群伤事故的危险因素；</w:t>
            </w:r>
          </w:p>
          <w:p w:rsidR="00363CC0" w:rsidRDefault="00F24112">
            <w:pPr>
              <w:adjustRightInd w:val="0"/>
              <w:snapToGrid w:val="0"/>
              <w:rPr>
                <w:szCs w:val="22"/>
              </w:rPr>
            </w:pPr>
            <w:r>
              <w:rPr>
                <w:szCs w:val="22"/>
              </w:rPr>
              <w:t>2.</w:t>
            </w:r>
            <w:r>
              <w:rPr>
                <w:szCs w:val="22"/>
              </w:rPr>
              <w:t>风险辨识评估范围应覆盖矿山（尾矿库）所有生产系统、场所、区域、作业活动、设备设施；</w:t>
            </w:r>
          </w:p>
          <w:p w:rsidR="00363CC0" w:rsidRDefault="00F24112">
            <w:pPr>
              <w:adjustRightInd w:val="0"/>
              <w:snapToGrid w:val="0"/>
              <w:rPr>
                <w:szCs w:val="22"/>
              </w:rPr>
            </w:pPr>
            <w:r>
              <w:rPr>
                <w:szCs w:val="22"/>
              </w:rPr>
              <w:t>3.</w:t>
            </w:r>
            <w:r>
              <w:rPr>
                <w:szCs w:val="22"/>
              </w:rPr>
              <w:t>年底前完成年度安全风险辨识评估报告的编制，制定《非煤矿山较大以上安全风险管控方案》；方案应包含较大以上安全风险清单，相应的管理、技术、工程等管控措施，以及每条措施落实的人员、技术、时限、资金等内容；</w:t>
            </w:r>
          </w:p>
          <w:p w:rsidR="00363CC0" w:rsidRDefault="00F24112">
            <w:pPr>
              <w:adjustRightInd w:val="0"/>
              <w:snapToGrid w:val="0"/>
              <w:rPr>
                <w:szCs w:val="22"/>
              </w:rPr>
            </w:pPr>
            <w:r>
              <w:rPr>
                <w:szCs w:val="22"/>
              </w:rPr>
              <w:t>4.</w:t>
            </w:r>
            <w:r>
              <w:rPr>
                <w:szCs w:val="22"/>
              </w:rPr>
              <w:t>将辨识评估结果应用于确定下一年度安全生产工作重点，《非煤矿山较大以上安全风险管控方案》对下一年度生产计划、灾害预防和处理计划、应急救援预案、安全培训计划、安全费用提取和使用计划等提出意见。</w:t>
            </w:r>
          </w:p>
        </w:tc>
      </w:tr>
      <w:tr w:rsidR="00363CC0">
        <w:trPr>
          <w:trHeight w:val="2190"/>
        </w:trPr>
        <w:tc>
          <w:tcPr>
            <w:tcW w:w="817" w:type="dxa"/>
            <w:vMerge/>
            <w:vAlign w:val="center"/>
          </w:tcPr>
          <w:p w:rsidR="00363CC0" w:rsidRDefault="00363CC0">
            <w:pPr>
              <w:adjustRightInd w:val="0"/>
              <w:snapToGrid w:val="0"/>
              <w:jc w:val="center"/>
              <w:rPr>
                <w:szCs w:val="22"/>
              </w:rPr>
            </w:pPr>
          </w:p>
        </w:tc>
        <w:tc>
          <w:tcPr>
            <w:tcW w:w="1559" w:type="dxa"/>
            <w:vMerge w:val="restart"/>
            <w:vAlign w:val="center"/>
          </w:tcPr>
          <w:p w:rsidR="00363CC0" w:rsidRDefault="00F24112">
            <w:pPr>
              <w:adjustRightInd w:val="0"/>
              <w:snapToGrid w:val="0"/>
              <w:jc w:val="center"/>
              <w:rPr>
                <w:szCs w:val="22"/>
              </w:rPr>
            </w:pPr>
            <w:r>
              <w:rPr>
                <w:szCs w:val="22"/>
              </w:rPr>
              <w:t>专项辨识评估</w:t>
            </w:r>
          </w:p>
        </w:tc>
        <w:tc>
          <w:tcPr>
            <w:tcW w:w="6946" w:type="dxa"/>
            <w:vAlign w:val="center"/>
          </w:tcPr>
          <w:p w:rsidR="00363CC0" w:rsidRDefault="00F24112">
            <w:pPr>
              <w:adjustRightInd w:val="0"/>
              <w:snapToGrid w:val="0"/>
              <w:rPr>
                <w:szCs w:val="22"/>
              </w:rPr>
            </w:pPr>
            <w:r>
              <w:rPr>
                <w:szCs w:val="22"/>
              </w:rPr>
              <w:t>开拓新的中段或矿体前，开展</w:t>
            </w:r>
            <w:r>
              <w:rPr>
                <w:szCs w:val="22"/>
              </w:rPr>
              <w:t>1</w:t>
            </w:r>
            <w:r>
              <w:rPr>
                <w:szCs w:val="22"/>
              </w:rPr>
              <w:t>次专项辨识评估：</w:t>
            </w:r>
          </w:p>
          <w:p w:rsidR="00363CC0" w:rsidRDefault="00F24112">
            <w:pPr>
              <w:adjustRightInd w:val="0"/>
              <w:snapToGrid w:val="0"/>
              <w:rPr>
                <w:szCs w:val="22"/>
              </w:rPr>
            </w:pPr>
            <w:r>
              <w:rPr>
                <w:szCs w:val="22"/>
              </w:rPr>
              <w:t>1.</w:t>
            </w:r>
            <w:r>
              <w:rPr>
                <w:szCs w:val="22"/>
              </w:rPr>
              <w:t>专项辨识评估由总工程师（或分管技术的负责人）组</w:t>
            </w:r>
            <w:r>
              <w:rPr>
                <w:szCs w:val="22"/>
              </w:rPr>
              <w:t>织有关部门进行；</w:t>
            </w:r>
          </w:p>
          <w:p w:rsidR="00363CC0" w:rsidRDefault="00F24112">
            <w:pPr>
              <w:adjustRightInd w:val="0"/>
              <w:snapToGrid w:val="0"/>
              <w:rPr>
                <w:szCs w:val="22"/>
              </w:rPr>
            </w:pPr>
            <w:r>
              <w:rPr>
                <w:szCs w:val="22"/>
              </w:rPr>
              <w:t>2.</w:t>
            </w:r>
            <w:r>
              <w:rPr>
                <w:szCs w:val="22"/>
              </w:rPr>
              <w:t>重点辨识评估地质条件和重大灾害因素等方面存在的安全风险</w:t>
            </w:r>
            <w:r>
              <w:rPr>
                <w:szCs w:val="22"/>
              </w:rPr>
              <w:t>;</w:t>
            </w:r>
          </w:p>
          <w:p w:rsidR="00363CC0" w:rsidRDefault="00F24112">
            <w:pPr>
              <w:adjustRightInd w:val="0"/>
              <w:snapToGrid w:val="0"/>
              <w:rPr>
                <w:szCs w:val="22"/>
              </w:rPr>
            </w:pPr>
            <w:r>
              <w:rPr>
                <w:szCs w:val="22"/>
              </w:rPr>
              <w:t>3</w:t>
            </w:r>
            <w:r>
              <w:rPr>
                <w:szCs w:val="22"/>
              </w:rPr>
              <w:t>、编制专项辨识评估报告</w:t>
            </w:r>
            <w:r>
              <w:rPr>
                <w:szCs w:val="22"/>
              </w:rPr>
              <w:t>,</w:t>
            </w:r>
            <w:r>
              <w:rPr>
                <w:szCs w:val="22"/>
              </w:rPr>
              <w:t>有新增较大以上风险或需调整措施的补充完善《非煤矿山较大以上安全风险管控方案》</w:t>
            </w:r>
            <w:r>
              <w:rPr>
                <w:szCs w:val="22"/>
              </w:rPr>
              <w:t>;</w:t>
            </w:r>
          </w:p>
          <w:p w:rsidR="00363CC0" w:rsidRDefault="00F24112">
            <w:pPr>
              <w:adjustRightInd w:val="0"/>
              <w:snapToGrid w:val="0"/>
              <w:rPr>
                <w:szCs w:val="22"/>
              </w:rPr>
            </w:pPr>
            <w:r>
              <w:rPr>
                <w:szCs w:val="22"/>
              </w:rPr>
              <w:t>4.</w:t>
            </w:r>
            <w:r>
              <w:rPr>
                <w:szCs w:val="22"/>
              </w:rPr>
              <w:t>辨识评估结果应用于完善设计方案</w:t>
            </w:r>
            <w:r>
              <w:rPr>
                <w:szCs w:val="22"/>
              </w:rPr>
              <w:t>,</w:t>
            </w:r>
            <w:r>
              <w:rPr>
                <w:szCs w:val="22"/>
              </w:rPr>
              <w:t>指导生产工艺选择、生产系统布置、设备选型、劳动组织确定。</w:t>
            </w:r>
          </w:p>
        </w:tc>
      </w:tr>
      <w:tr w:rsidR="00363CC0">
        <w:trPr>
          <w:trHeight w:val="279"/>
        </w:trPr>
        <w:tc>
          <w:tcPr>
            <w:tcW w:w="817" w:type="dxa"/>
            <w:vMerge/>
            <w:vAlign w:val="center"/>
          </w:tcPr>
          <w:p w:rsidR="00363CC0" w:rsidRDefault="00363CC0">
            <w:pPr>
              <w:adjustRightInd w:val="0"/>
              <w:snapToGrid w:val="0"/>
              <w:jc w:val="center"/>
              <w:rPr>
                <w:szCs w:val="22"/>
              </w:rPr>
            </w:pPr>
          </w:p>
        </w:tc>
        <w:tc>
          <w:tcPr>
            <w:tcW w:w="1559" w:type="dxa"/>
            <w:vMerge/>
            <w:vAlign w:val="center"/>
          </w:tcPr>
          <w:p w:rsidR="00363CC0" w:rsidRDefault="00363CC0">
            <w:pPr>
              <w:adjustRightInd w:val="0"/>
              <w:snapToGrid w:val="0"/>
              <w:jc w:val="center"/>
              <w:rPr>
                <w:szCs w:val="22"/>
              </w:rPr>
            </w:pPr>
          </w:p>
        </w:tc>
        <w:tc>
          <w:tcPr>
            <w:tcW w:w="6946" w:type="dxa"/>
            <w:vAlign w:val="center"/>
          </w:tcPr>
          <w:p w:rsidR="00363CC0" w:rsidRDefault="00F24112">
            <w:pPr>
              <w:adjustRightInd w:val="0"/>
              <w:snapToGrid w:val="0"/>
              <w:rPr>
                <w:szCs w:val="22"/>
              </w:rPr>
            </w:pPr>
            <w:r>
              <w:rPr>
                <w:szCs w:val="22"/>
              </w:rPr>
              <w:t>生产系统、生产工艺、主要设施设备等发生重大变化，开展专项辨识评估：</w:t>
            </w:r>
          </w:p>
          <w:p w:rsidR="00363CC0" w:rsidRDefault="00F24112">
            <w:pPr>
              <w:adjustRightInd w:val="0"/>
              <w:snapToGrid w:val="0"/>
              <w:rPr>
                <w:szCs w:val="22"/>
              </w:rPr>
            </w:pPr>
            <w:r>
              <w:rPr>
                <w:szCs w:val="22"/>
              </w:rPr>
              <w:t>1.</w:t>
            </w:r>
            <w:r>
              <w:rPr>
                <w:szCs w:val="22"/>
              </w:rPr>
              <w:t>专项辨识评估由分管负责人组织有关部门进行</w:t>
            </w:r>
            <w:r>
              <w:rPr>
                <w:szCs w:val="22"/>
              </w:rPr>
              <w:t>;</w:t>
            </w:r>
          </w:p>
          <w:p w:rsidR="00363CC0" w:rsidRDefault="00F24112">
            <w:pPr>
              <w:adjustRightInd w:val="0"/>
              <w:snapToGrid w:val="0"/>
              <w:rPr>
                <w:szCs w:val="22"/>
              </w:rPr>
            </w:pPr>
            <w:r>
              <w:rPr>
                <w:szCs w:val="22"/>
              </w:rPr>
              <w:t>2.</w:t>
            </w:r>
            <w:r>
              <w:rPr>
                <w:szCs w:val="22"/>
              </w:rPr>
              <w:t>重点辨识评估作业环境、生产过程、重大灾害因素和设施设备运行等方面存在的安全风险</w:t>
            </w:r>
            <w:r>
              <w:rPr>
                <w:szCs w:val="22"/>
              </w:rPr>
              <w:t>;</w:t>
            </w:r>
          </w:p>
          <w:p w:rsidR="00363CC0" w:rsidRDefault="00F24112">
            <w:pPr>
              <w:adjustRightInd w:val="0"/>
              <w:snapToGrid w:val="0"/>
              <w:rPr>
                <w:szCs w:val="22"/>
              </w:rPr>
            </w:pPr>
            <w:r>
              <w:rPr>
                <w:szCs w:val="22"/>
              </w:rPr>
              <w:t>3.</w:t>
            </w:r>
            <w:r>
              <w:rPr>
                <w:szCs w:val="22"/>
              </w:rPr>
              <w:t>编制专项辨识评估报告</w:t>
            </w:r>
            <w:r>
              <w:rPr>
                <w:szCs w:val="22"/>
              </w:rPr>
              <w:t>,</w:t>
            </w:r>
            <w:r>
              <w:rPr>
                <w:szCs w:val="22"/>
              </w:rPr>
              <w:t>有新增较大以上风险或需调整措施的补充完善《非煤矿山较大以上安全风险管控方案》</w:t>
            </w:r>
            <w:r>
              <w:rPr>
                <w:szCs w:val="22"/>
              </w:rPr>
              <w:t>;</w:t>
            </w:r>
          </w:p>
          <w:p w:rsidR="00363CC0" w:rsidRDefault="00F24112">
            <w:pPr>
              <w:adjustRightInd w:val="0"/>
              <w:snapToGrid w:val="0"/>
              <w:rPr>
                <w:szCs w:val="22"/>
              </w:rPr>
            </w:pPr>
            <w:r>
              <w:rPr>
                <w:szCs w:val="22"/>
              </w:rPr>
              <w:t>4.</w:t>
            </w:r>
            <w:r>
              <w:rPr>
                <w:szCs w:val="22"/>
              </w:rPr>
              <w:t>辨识评估结果应用于指导编制或修订完善作业规程、操作规程。</w:t>
            </w:r>
          </w:p>
        </w:tc>
      </w:tr>
      <w:tr w:rsidR="00363CC0">
        <w:trPr>
          <w:trHeight w:val="698"/>
        </w:trPr>
        <w:tc>
          <w:tcPr>
            <w:tcW w:w="817" w:type="dxa"/>
            <w:vMerge/>
            <w:vAlign w:val="center"/>
          </w:tcPr>
          <w:p w:rsidR="00363CC0" w:rsidRDefault="00363CC0">
            <w:pPr>
              <w:adjustRightInd w:val="0"/>
              <w:snapToGrid w:val="0"/>
              <w:jc w:val="center"/>
              <w:rPr>
                <w:szCs w:val="22"/>
              </w:rPr>
            </w:pPr>
          </w:p>
        </w:tc>
        <w:tc>
          <w:tcPr>
            <w:tcW w:w="1559" w:type="dxa"/>
            <w:vMerge/>
            <w:vAlign w:val="center"/>
          </w:tcPr>
          <w:p w:rsidR="00363CC0" w:rsidRDefault="00363CC0">
            <w:pPr>
              <w:adjustRightInd w:val="0"/>
              <w:snapToGrid w:val="0"/>
              <w:jc w:val="center"/>
              <w:rPr>
                <w:szCs w:val="22"/>
              </w:rPr>
            </w:pPr>
          </w:p>
        </w:tc>
        <w:tc>
          <w:tcPr>
            <w:tcW w:w="6946" w:type="dxa"/>
            <w:vAlign w:val="center"/>
          </w:tcPr>
          <w:p w:rsidR="00363CC0" w:rsidRDefault="00F24112">
            <w:pPr>
              <w:adjustRightInd w:val="0"/>
              <w:snapToGrid w:val="0"/>
              <w:rPr>
                <w:szCs w:val="22"/>
              </w:rPr>
            </w:pPr>
            <w:r>
              <w:rPr>
                <w:szCs w:val="22"/>
              </w:rPr>
              <w:t>连续停工停产</w:t>
            </w:r>
            <w:r>
              <w:rPr>
                <w:szCs w:val="22"/>
              </w:rPr>
              <w:t>6</w:t>
            </w:r>
            <w:r>
              <w:rPr>
                <w:szCs w:val="22"/>
              </w:rPr>
              <w:t>个月以上复工复产前，开展</w:t>
            </w:r>
            <w:r>
              <w:rPr>
                <w:szCs w:val="22"/>
              </w:rPr>
              <w:t>1</w:t>
            </w:r>
            <w:r>
              <w:rPr>
                <w:szCs w:val="22"/>
              </w:rPr>
              <w:t>次专项辨识评估：</w:t>
            </w:r>
          </w:p>
          <w:p w:rsidR="00363CC0" w:rsidRDefault="00F24112">
            <w:pPr>
              <w:adjustRightInd w:val="0"/>
              <w:snapToGrid w:val="0"/>
              <w:rPr>
                <w:szCs w:val="22"/>
              </w:rPr>
            </w:pPr>
            <w:r>
              <w:rPr>
                <w:szCs w:val="22"/>
              </w:rPr>
              <w:t>1.</w:t>
            </w:r>
            <w:r>
              <w:rPr>
                <w:szCs w:val="22"/>
              </w:rPr>
              <w:t>专项辨识评估由主要负责人组织有关部门、工区进行</w:t>
            </w:r>
            <w:r>
              <w:rPr>
                <w:szCs w:val="22"/>
              </w:rPr>
              <w:t>;</w:t>
            </w:r>
          </w:p>
          <w:p w:rsidR="00363CC0" w:rsidRDefault="00F24112">
            <w:pPr>
              <w:adjustRightInd w:val="0"/>
              <w:snapToGrid w:val="0"/>
              <w:rPr>
                <w:szCs w:val="22"/>
              </w:rPr>
            </w:pPr>
            <w:r>
              <w:rPr>
                <w:szCs w:val="22"/>
              </w:rPr>
              <w:lastRenderedPageBreak/>
              <w:t>2.</w:t>
            </w:r>
            <w:r>
              <w:rPr>
                <w:szCs w:val="22"/>
              </w:rPr>
              <w:t>重点辨识评估作业环境、工程技术、设备设施和现场等方面存在的安全风险；</w:t>
            </w:r>
          </w:p>
          <w:p w:rsidR="00363CC0" w:rsidRDefault="00F24112">
            <w:pPr>
              <w:adjustRightInd w:val="0"/>
              <w:snapToGrid w:val="0"/>
              <w:rPr>
                <w:szCs w:val="22"/>
              </w:rPr>
            </w:pPr>
            <w:r>
              <w:rPr>
                <w:szCs w:val="22"/>
              </w:rPr>
              <w:t xml:space="preserve">3. </w:t>
            </w:r>
            <w:r>
              <w:rPr>
                <w:szCs w:val="22"/>
              </w:rPr>
              <w:t>编制专项辨识评估报告</w:t>
            </w:r>
            <w:r>
              <w:rPr>
                <w:szCs w:val="22"/>
              </w:rPr>
              <w:t>,</w:t>
            </w:r>
            <w:r>
              <w:rPr>
                <w:szCs w:val="22"/>
              </w:rPr>
              <w:t>有新增较大以上风险或需调整措施的补充完善《非煤矿山较大以上安全风险管控方案》</w:t>
            </w:r>
            <w:r>
              <w:rPr>
                <w:szCs w:val="22"/>
              </w:rPr>
              <w:t>;</w:t>
            </w:r>
          </w:p>
          <w:p w:rsidR="00363CC0" w:rsidRDefault="00F24112">
            <w:pPr>
              <w:adjustRightInd w:val="0"/>
              <w:snapToGrid w:val="0"/>
              <w:rPr>
                <w:szCs w:val="22"/>
              </w:rPr>
            </w:pPr>
            <w:r>
              <w:rPr>
                <w:szCs w:val="22"/>
              </w:rPr>
              <w:t xml:space="preserve">4. </w:t>
            </w:r>
            <w:r>
              <w:rPr>
                <w:szCs w:val="22"/>
              </w:rPr>
              <w:t>辨识评估结果应用于安全技术措施编制提出指导意见。</w:t>
            </w:r>
          </w:p>
        </w:tc>
      </w:tr>
      <w:tr w:rsidR="00363CC0">
        <w:trPr>
          <w:trHeight w:val="879"/>
        </w:trPr>
        <w:tc>
          <w:tcPr>
            <w:tcW w:w="817" w:type="dxa"/>
            <w:vMerge/>
            <w:vAlign w:val="center"/>
          </w:tcPr>
          <w:p w:rsidR="00363CC0" w:rsidRDefault="00363CC0">
            <w:pPr>
              <w:adjustRightInd w:val="0"/>
              <w:snapToGrid w:val="0"/>
              <w:jc w:val="center"/>
              <w:rPr>
                <w:szCs w:val="22"/>
              </w:rPr>
            </w:pPr>
          </w:p>
        </w:tc>
        <w:tc>
          <w:tcPr>
            <w:tcW w:w="1559" w:type="dxa"/>
            <w:vMerge/>
            <w:vAlign w:val="center"/>
          </w:tcPr>
          <w:p w:rsidR="00363CC0" w:rsidRDefault="00363CC0">
            <w:pPr>
              <w:adjustRightInd w:val="0"/>
              <w:snapToGrid w:val="0"/>
              <w:jc w:val="center"/>
              <w:rPr>
                <w:szCs w:val="22"/>
              </w:rPr>
            </w:pPr>
          </w:p>
        </w:tc>
        <w:tc>
          <w:tcPr>
            <w:tcW w:w="6946" w:type="dxa"/>
            <w:vAlign w:val="center"/>
          </w:tcPr>
          <w:p w:rsidR="00363CC0" w:rsidRDefault="00F24112">
            <w:pPr>
              <w:adjustRightInd w:val="0"/>
              <w:snapToGrid w:val="0"/>
              <w:rPr>
                <w:szCs w:val="22"/>
              </w:rPr>
            </w:pPr>
            <w:r>
              <w:rPr>
                <w:szCs w:val="22"/>
              </w:rPr>
              <w:t>本矿发生死亡事故或涉险事故，开展</w:t>
            </w:r>
            <w:r>
              <w:rPr>
                <w:szCs w:val="22"/>
              </w:rPr>
              <w:t>1</w:t>
            </w:r>
            <w:r>
              <w:rPr>
                <w:szCs w:val="22"/>
              </w:rPr>
              <w:t>次专项辨识评估：</w:t>
            </w:r>
          </w:p>
          <w:p w:rsidR="00363CC0" w:rsidRDefault="00F24112">
            <w:pPr>
              <w:adjustRightInd w:val="0"/>
              <w:snapToGrid w:val="0"/>
              <w:rPr>
                <w:szCs w:val="22"/>
              </w:rPr>
            </w:pPr>
            <w:r>
              <w:rPr>
                <w:szCs w:val="22"/>
              </w:rPr>
              <w:t>1.</w:t>
            </w:r>
            <w:r>
              <w:rPr>
                <w:szCs w:val="22"/>
              </w:rPr>
              <w:t>专项辨识评估由主要负责人组织分管负责人和有关部门进行</w:t>
            </w:r>
            <w:r>
              <w:rPr>
                <w:szCs w:val="22"/>
              </w:rPr>
              <w:t>;</w:t>
            </w:r>
          </w:p>
          <w:p w:rsidR="00363CC0" w:rsidRDefault="00F24112">
            <w:pPr>
              <w:adjustRightInd w:val="0"/>
              <w:snapToGrid w:val="0"/>
              <w:rPr>
                <w:szCs w:val="22"/>
              </w:rPr>
            </w:pPr>
            <w:r>
              <w:rPr>
                <w:szCs w:val="22"/>
              </w:rPr>
              <w:t>2.</w:t>
            </w:r>
            <w:r>
              <w:rPr>
                <w:szCs w:val="22"/>
              </w:rPr>
              <w:t>识别安全风险辨识评估结果及管控措施是否存在漏洞、盲区</w:t>
            </w:r>
            <w:r>
              <w:rPr>
                <w:szCs w:val="22"/>
              </w:rPr>
              <w:t>;</w:t>
            </w:r>
          </w:p>
          <w:p w:rsidR="00363CC0" w:rsidRDefault="00F24112">
            <w:pPr>
              <w:adjustRightInd w:val="0"/>
              <w:snapToGrid w:val="0"/>
              <w:rPr>
                <w:szCs w:val="22"/>
              </w:rPr>
            </w:pPr>
            <w:r>
              <w:rPr>
                <w:szCs w:val="22"/>
              </w:rPr>
              <w:t>3.</w:t>
            </w:r>
            <w:r>
              <w:rPr>
                <w:szCs w:val="22"/>
              </w:rPr>
              <w:t>编制专项辨识评估报告</w:t>
            </w:r>
            <w:r>
              <w:rPr>
                <w:szCs w:val="22"/>
              </w:rPr>
              <w:t>,</w:t>
            </w:r>
            <w:r>
              <w:rPr>
                <w:szCs w:val="22"/>
              </w:rPr>
              <w:t>有新增较大以上风险或需调整措施的补充完善《非煤矿山较大以上安全风险管控方案》</w:t>
            </w:r>
            <w:r>
              <w:rPr>
                <w:szCs w:val="22"/>
              </w:rPr>
              <w:t>;</w:t>
            </w:r>
          </w:p>
          <w:p w:rsidR="00363CC0" w:rsidRDefault="00F24112">
            <w:pPr>
              <w:adjustRightInd w:val="0"/>
              <w:snapToGrid w:val="0"/>
              <w:rPr>
                <w:szCs w:val="22"/>
              </w:rPr>
            </w:pPr>
            <w:r>
              <w:rPr>
                <w:szCs w:val="22"/>
              </w:rPr>
              <w:t>4.</w:t>
            </w:r>
            <w:r>
              <w:rPr>
                <w:szCs w:val="22"/>
              </w:rPr>
              <w:t>辨识评估结果应用于指导编制或修订完善设计方案、作业规程、操作规程、安全技术措施。</w:t>
            </w:r>
          </w:p>
        </w:tc>
      </w:tr>
      <w:tr w:rsidR="00363CC0">
        <w:trPr>
          <w:trHeight w:val="615"/>
        </w:trPr>
        <w:tc>
          <w:tcPr>
            <w:tcW w:w="817" w:type="dxa"/>
            <w:vMerge w:val="restart"/>
            <w:vAlign w:val="center"/>
          </w:tcPr>
          <w:p w:rsidR="00363CC0" w:rsidRDefault="00F24112">
            <w:pPr>
              <w:adjustRightInd w:val="0"/>
              <w:snapToGrid w:val="0"/>
              <w:jc w:val="center"/>
              <w:rPr>
                <w:szCs w:val="22"/>
              </w:rPr>
            </w:pPr>
            <w:r>
              <w:rPr>
                <w:szCs w:val="22"/>
              </w:rPr>
              <w:t>三、安全风险管控</w:t>
            </w:r>
          </w:p>
        </w:tc>
        <w:tc>
          <w:tcPr>
            <w:tcW w:w="1559" w:type="dxa"/>
            <w:vAlign w:val="center"/>
          </w:tcPr>
          <w:p w:rsidR="00363CC0" w:rsidRDefault="00F24112">
            <w:pPr>
              <w:adjustRightInd w:val="0"/>
              <w:snapToGrid w:val="0"/>
              <w:jc w:val="center"/>
              <w:rPr>
                <w:szCs w:val="22"/>
              </w:rPr>
            </w:pPr>
            <w:r>
              <w:rPr>
                <w:szCs w:val="22"/>
              </w:rPr>
              <w:t>管</w:t>
            </w:r>
            <w:proofErr w:type="gramStart"/>
            <w:r>
              <w:rPr>
                <w:szCs w:val="22"/>
              </w:rPr>
              <w:t>控方案</w:t>
            </w:r>
            <w:proofErr w:type="gramEnd"/>
            <w:r>
              <w:rPr>
                <w:szCs w:val="22"/>
              </w:rPr>
              <w:t>落实</w:t>
            </w:r>
          </w:p>
        </w:tc>
        <w:tc>
          <w:tcPr>
            <w:tcW w:w="6946" w:type="dxa"/>
            <w:vAlign w:val="center"/>
          </w:tcPr>
          <w:p w:rsidR="00363CC0" w:rsidRDefault="00F24112">
            <w:pPr>
              <w:adjustRightInd w:val="0"/>
              <w:snapToGrid w:val="0"/>
              <w:rPr>
                <w:szCs w:val="22"/>
              </w:rPr>
            </w:pPr>
            <w:r>
              <w:rPr>
                <w:szCs w:val="22"/>
              </w:rPr>
              <w:t>1.</w:t>
            </w:r>
            <w:r>
              <w:rPr>
                <w:szCs w:val="22"/>
              </w:rPr>
              <w:t>由主要负责人组织实施《非煤矿山较大以上安全风险管控方案》，人员、技术、资金满足要求，较大以上安全风险管控措施落实到位；</w:t>
            </w:r>
          </w:p>
          <w:p w:rsidR="00363CC0" w:rsidRDefault="00F24112">
            <w:pPr>
              <w:adjustRightInd w:val="0"/>
              <w:snapToGrid w:val="0"/>
              <w:rPr>
                <w:szCs w:val="22"/>
              </w:rPr>
            </w:pPr>
            <w:r>
              <w:rPr>
                <w:szCs w:val="22"/>
              </w:rPr>
              <w:t>2.</w:t>
            </w:r>
            <w:r>
              <w:rPr>
                <w:szCs w:val="22"/>
              </w:rPr>
              <w:t>有较大以上安全风险的区域设定作业人数上限，入口显著位置</w:t>
            </w:r>
            <w:proofErr w:type="gramStart"/>
            <w:r>
              <w:rPr>
                <w:szCs w:val="22"/>
              </w:rPr>
              <w:t>悬挂限员牌板</w:t>
            </w:r>
            <w:proofErr w:type="gramEnd"/>
            <w:r>
              <w:rPr>
                <w:szCs w:val="22"/>
              </w:rPr>
              <w:t>；</w:t>
            </w:r>
          </w:p>
          <w:p w:rsidR="00363CC0" w:rsidRDefault="00F24112">
            <w:pPr>
              <w:adjustRightInd w:val="0"/>
              <w:snapToGrid w:val="0"/>
              <w:rPr>
                <w:szCs w:val="22"/>
              </w:rPr>
            </w:pPr>
            <w:r>
              <w:rPr>
                <w:szCs w:val="22"/>
              </w:rPr>
              <w:t xml:space="preserve">3. </w:t>
            </w:r>
            <w:r>
              <w:rPr>
                <w:szCs w:val="22"/>
              </w:rPr>
              <w:t>主要负责人掌握并落实本矿较大以上安全风险及主要管控措施</w:t>
            </w:r>
            <w:r>
              <w:rPr>
                <w:szCs w:val="22"/>
              </w:rPr>
              <w:t>,</w:t>
            </w:r>
            <w:r>
              <w:rPr>
                <w:szCs w:val="22"/>
              </w:rPr>
              <w:t>分管负责人、副总工程师、部门负责人、专业技术人员掌握相关范围的较大以上安全风险及管控措施；</w:t>
            </w:r>
          </w:p>
          <w:p w:rsidR="00363CC0" w:rsidRDefault="00F24112">
            <w:pPr>
              <w:adjustRightInd w:val="0"/>
              <w:snapToGrid w:val="0"/>
              <w:rPr>
                <w:szCs w:val="22"/>
              </w:rPr>
            </w:pPr>
            <w:r>
              <w:rPr>
                <w:szCs w:val="22"/>
              </w:rPr>
              <w:t xml:space="preserve">4. </w:t>
            </w:r>
            <w:r>
              <w:rPr>
                <w:szCs w:val="22"/>
              </w:rPr>
              <w:t>在较大以上安全风险区域作业的工区长、班组长掌握并落实该区域重大安全风险及相应的管控措施</w:t>
            </w:r>
            <w:r>
              <w:rPr>
                <w:szCs w:val="22"/>
              </w:rPr>
              <w:t>;</w:t>
            </w:r>
            <w:r>
              <w:rPr>
                <w:szCs w:val="22"/>
              </w:rPr>
              <w:t>工区长、班组长组织作业时对管控措施落实情况进行现场确认；</w:t>
            </w:r>
          </w:p>
          <w:p w:rsidR="00363CC0" w:rsidRDefault="00F24112">
            <w:pPr>
              <w:adjustRightInd w:val="0"/>
              <w:snapToGrid w:val="0"/>
              <w:rPr>
                <w:szCs w:val="22"/>
              </w:rPr>
            </w:pPr>
            <w:r>
              <w:rPr>
                <w:szCs w:val="22"/>
              </w:rPr>
              <w:t xml:space="preserve">5. </w:t>
            </w:r>
            <w:r>
              <w:rPr>
                <w:szCs w:val="22"/>
              </w:rPr>
              <w:t>主要负责人每年组织对重大安全风险管控措施落实情况和管</w:t>
            </w:r>
            <w:proofErr w:type="gramStart"/>
            <w:r>
              <w:rPr>
                <w:szCs w:val="22"/>
              </w:rPr>
              <w:t>控效果</w:t>
            </w:r>
            <w:proofErr w:type="gramEnd"/>
            <w:r>
              <w:rPr>
                <w:szCs w:val="22"/>
              </w:rPr>
              <w:t>进行总结分析</w:t>
            </w:r>
            <w:r>
              <w:rPr>
                <w:szCs w:val="22"/>
              </w:rPr>
              <w:t>,</w:t>
            </w:r>
            <w:r>
              <w:rPr>
                <w:szCs w:val="22"/>
              </w:rPr>
              <w:t>指导下一年度安全风险管控工作。</w:t>
            </w:r>
          </w:p>
        </w:tc>
      </w:tr>
      <w:tr w:rsidR="00363CC0">
        <w:trPr>
          <w:trHeight w:val="630"/>
        </w:trPr>
        <w:tc>
          <w:tcPr>
            <w:tcW w:w="817" w:type="dxa"/>
            <w:vMerge/>
            <w:vAlign w:val="center"/>
          </w:tcPr>
          <w:p w:rsidR="00363CC0" w:rsidRDefault="00363CC0">
            <w:pPr>
              <w:adjustRightInd w:val="0"/>
              <w:snapToGrid w:val="0"/>
              <w:jc w:val="center"/>
              <w:rPr>
                <w:szCs w:val="22"/>
              </w:rPr>
            </w:pPr>
          </w:p>
        </w:tc>
        <w:tc>
          <w:tcPr>
            <w:tcW w:w="1559" w:type="dxa"/>
            <w:vAlign w:val="center"/>
          </w:tcPr>
          <w:p w:rsidR="00363CC0" w:rsidRDefault="00F24112">
            <w:pPr>
              <w:adjustRightInd w:val="0"/>
              <w:snapToGrid w:val="0"/>
              <w:jc w:val="center"/>
              <w:rPr>
                <w:szCs w:val="22"/>
              </w:rPr>
            </w:pPr>
            <w:r>
              <w:rPr>
                <w:szCs w:val="22"/>
              </w:rPr>
              <w:t>公告报告</w:t>
            </w:r>
          </w:p>
        </w:tc>
        <w:tc>
          <w:tcPr>
            <w:tcW w:w="6946" w:type="dxa"/>
            <w:vAlign w:val="center"/>
          </w:tcPr>
          <w:p w:rsidR="00363CC0" w:rsidRDefault="00F24112">
            <w:pPr>
              <w:adjustRightInd w:val="0"/>
              <w:snapToGrid w:val="0"/>
              <w:rPr>
                <w:szCs w:val="22"/>
              </w:rPr>
            </w:pPr>
            <w:r>
              <w:rPr>
                <w:szCs w:val="22"/>
              </w:rPr>
              <w:t xml:space="preserve">1. </w:t>
            </w:r>
            <w:r>
              <w:rPr>
                <w:szCs w:val="22"/>
              </w:rPr>
              <w:t>在矿山入井口、尾矿库初期坝、交接班室等醒目位置和重点区域分别设置安全风险公告栏。将危险有害因素、事故类型、后果、影响范围、风险等级、管控措施和应急措施、责任人、报告电话等信息标识清楚，公告内容应及时更新和建档。</w:t>
            </w:r>
          </w:p>
          <w:p w:rsidR="00363CC0" w:rsidRDefault="00F24112">
            <w:pPr>
              <w:adjustRightInd w:val="0"/>
              <w:snapToGrid w:val="0"/>
              <w:rPr>
                <w:szCs w:val="22"/>
              </w:rPr>
            </w:pPr>
            <w:r>
              <w:rPr>
                <w:szCs w:val="22"/>
              </w:rPr>
              <w:t xml:space="preserve">2. </w:t>
            </w:r>
            <w:r>
              <w:rPr>
                <w:szCs w:val="22"/>
              </w:rPr>
              <w:t>每年</w:t>
            </w:r>
            <w:r>
              <w:rPr>
                <w:szCs w:val="22"/>
              </w:rPr>
              <w:t>12</w:t>
            </w:r>
            <w:r>
              <w:rPr>
                <w:szCs w:val="22"/>
              </w:rPr>
              <w:t>月底前，主要负责人组织本矿年度辨识评估得出的较大以上</w:t>
            </w:r>
            <w:proofErr w:type="gramStart"/>
            <w:r>
              <w:rPr>
                <w:szCs w:val="22"/>
              </w:rPr>
              <w:t>安风险</w:t>
            </w:r>
            <w:proofErr w:type="gramEnd"/>
            <w:r>
              <w:rPr>
                <w:szCs w:val="22"/>
              </w:rPr>
              <w:t>清单及其管控措施报送属地应急部门。</w:t>
            </w:r>
          </w:p>
        </w:tc>
      </w:tr>
      <w:tr w:rsidR="00363CC0">
        <w:trPr>
          <w:trHeight w:val="510"/>
        </w:trPr>
        <w:tc>
          <w:tcPr>
            <w:tcW w:w="817" w:type="dxa"/>
            <w:vMerge w:val="restart"/>
            <w:vAlign w:val="center"/>
          </w:tcPr>
          <w:p w:rsidR="00363CC0" w:rsidRDefault="00F24112">
            <w:pPr>
              <w:adjustRightInd w:val="0"/>
              <w:snapToGrid w:val="0"/>
              <w:jc w:val="center"/>
              <w:rPr>
                <w:szCs w:val="22"/>
              </w:rPr>
            </w:pPr>
            <w:r>
              <w:rPr>
                <w:szCs w:val="22"/>
              </w:rPr>
              <w:t>四、保障措施</w:t>
            </w:r>
          </w:p>
        </w:tc>
        <w:tc>
          <w:tcPr>
            <w:tcW w:w="1559" w:type="dxa"/>
            <w:vAlign w:val="center"/>
          </w:tcPr>
          <w:p w:rsidR="00363CC0" w:rsidRDefault="00F24112">
            <w:pPr>
              <w:adjustRightInd w:val="0"/>
              <w:snapToGrid w:val="0"/>
              <w:jc w:val="center"/>
              <w:rPr>
                <w:szCs w:val="22"/>
              </w:rPr>
            </w:pPr>
            <w:r>
              <w:rPr>
                <w:szCs w:val="22"/>
              </w:rPr>
              <w:t>信息管理</w:t>
            </w:r>
          </w:p>
        </w:tc>
        <w:tc>
          <w:tcPr>
            <w:tcW w:w="6946" w:type="dxa"/>
            <w:vAlign w:val="center"/>
          </w:tcPr>
          <w:p w:rsidR="00363CC0" w:rsidRDefault="00F24112">
            <w:pPr>
              <w:adjustRightInd w:val="0"/>
              <w:snapToGrid w:val="0"/>
              <w:rPr>
                <w:szCs w:val="22"/>
              </w:rPr>
            </w:pPr>
            <w:r>
              <w:rPr>
                <w:szCs w:val="22"/>
              </w:rPr>
              <w:t>采用信息化管理手段</w:t>
            </w:r>
            <w:r>
              <w:rPr>
                <w:szCs w:val="22"/>
              </w:rPr>
              <w:t>,</w:t>
            </w:r>
            <w:r>
              <w:rPr>
                <w:szCs w:val="22"/>
              </w:rPr>
              <w:t>实现对安全风险记录、跟踪、统计、</w:t>
            </w:r>
            <w:proofErr w:type="gramStart"/>
            <w:r>
              <w:rPr>
                <w:szCs w:val="22"/>
              </w:rPr>
              <w:t>分材上报</w:t>
            </w:r>
            <w:proofErr w:type="gramEnd"/>
            <w:r>
              <w:rPr>
                <w:szCs w:val="22"/>
              </w:rPr>
              <w:t>等全过程的信息化管理。</w:t>
            </w:r>
          </w:p>
        </w:tc>
      </w:tr>
      <w:tr w:rsidR="00363CC0">
        <w:trPr>
          <w:trHeight w:val="420"/>
        </w:trPr>
        <w:tc>
          <w:tcPr>
            <w:tcW w:w="817" w:type="dxa"/>
            <w:vMerge/>
            <w:vAlign w:val="center"/>
          </w:tcPr>
          <w:p w:rsidR="00363CC0" w:rsidRDefault="00363CC0">
            <w:pPr>
              <w:adjustRightInd w:val="0"/>
              <w:snapToGrid w:val="0"/>
              <w:jc w:val="center"/>
              <w:rPr>
                <w:szCs w:val="22"/>
              </w:rPr>
            </w:pPr>
          </w:p>
        </w:tc>
        <w:tc>
          <w:tcPr>
            <w:tcW w:w="1559" w:type="dxa"/>
            <w:vAlign w:val="center"/>
          </w:tcPr>
          <w:p w:rsidR="00363CC0" w:rsidRDefault="00F24112">
            <w:pPr>
              <w:adjustRightInd w:val="0"/>
              <w:snapToGrid w:val="0"/>
              <w:jc w:val="center"/>
              <w:rPr>
                <w:szCs w:val="22"/>
              </w:rPr>
            </w:pPr>
            <w:r>
              <w:rPr>
                <w:szCs w:val="22"/>
              </w:rPr>
              <w:t>教育培训</w:t>
            </w:r>
          </w:p>
        </w:tc>
        <w:tc>
          <w:tcPr>
            <w:tcW w:w="6946" w:type="dxa"/>
            <w:vAlign w:val="center"/>
          </w:tcPr>
          <w:p w:rsidR="00363CC0" w:rsidRDefault="00F24112">
            <w:pPr>
              <w:adjustRightInd w:val="0"/>
              <w:snapToGrid w:val="0"/>
              <w:rPr>
                <w:szCs w:val="22"/>
              </w:rPr>
            </w:pPr>
            <w:r>
              <w:rPr>
                <w:szCs w:val="22"/>
              </w:rPr>
              <w:t>1.</w:t>
            </w:r>
            <w:r>
              <w:rPr>
                <w:szCs w:val="22"/>
              </w:rPr>
              <w:t>要制作重点岗位安全风险告知卡，标明岗位安全操作要点、主要安全风险、可能引发的事故类型、管控措施及应急措施等内容。</w:t>
            </w:r>
          </w:p>
          <w:p w:rsidR="00363CC0" w:rsidRDefault="00F24112">
            <w:pPr>
              <w:adjustRightInd w:val="0"/>
              <w:snapToGrid w:val="0"/>
              <w:rPr>
                <w:szCs w:val="22"/>
              </w:rPr>
            </w:pPr>
            <w:r>
              <w:rPr>
                <w:szCs w:val="22"/>
              </w:rPr>
              <w:t>2.</w:t>
            </w:r>
            <w:r>
              <w:rPr>
                <w:szCs w:val="22"/>
              </w:rPr>
              <w:t>年度辨识评估完成后</w:t>
            </w:r>
            <w:r>
              <w:rPr>
                <w:szCs w:val="22"/>
              </w:rPr>
              <w:t>1</w:t>
            </w:r>
            <w:r>
              <w:rPr>
                <w:szCs w:val="22"/>
              </w:rPr>
              <w:t>个月内人员进行安全风险</w:t>
            </w:r>
            <w:proofErr w:type="gramStart"/>
            <w:r>
              <w:rPr>
                <w:szCs w:val="22"/>
              </w:rPr>
              <w:t>控培训</w:t>
            </w:r>
            <w:proofErr w:type="gramEnd"/>
            <w:r>
              <w:rPr>
                <w:szCs w:val="22"/>
              </w:rPr>
              <w:t>,</w:t>
            </w:r>
            <w:r>
              <w:rPr>
                <w:szCs w:val="22"/>
              </w:rPr>
              <w:t>内容包括重大安全风险清单、与本岗位相关的较大以上安全风管控措施</w:t>
            </w:r>
            <w:r>
              <w:rPr>
                <w:szCs w:val="22"/>
              </w:rPr>
              <w:t xml:space="preserve">, </w:t>
            </w:r>
            <w:r>
              <w:rPr>
                <w:szCs w:val="22"/>
              </w:rPr>
              <w:t>且不少于</w:t>
            </w:r>
            <w:r>
              <w:rPr>
                <w:szCs w:val="22"/>
              </w:rPr>
              <w:t>2</w:t>
            </w:r>
            <w:r>
              <w:rPr>
                <w:szCs w:val="22"/>
              </w:rPr>
              <w:t>学时</w:t>
            </w:r>
            <w:r>
              <w:rPr>
                <w:szCs w:val="22"/>
              </w:rPr>
              <w:t xml:space="preserve">; </w:t>
            </w:r>
            <w:r>
              <w:rPr>
                <w:szCs w:val="22"/>
              </w:rPr>
              <w:t>专项辨识评估完成后</w:t>
            </w:r>
            <w:r>
              <w:rPr>
                <w:szCs w:val="22"/>
              </w:rPr>
              <w:t>1</w:t>
            </w:r>
            <w:r>
              <w:rPr>
                <w:szCs w:val="22"/>
              </w:rPr>
              <w:t>周内对相关</w:t>
            </w:r>
            <w:proofErr w:type="gramStart"/>
            <w:r>
              <w:rPr>
                <w:szCs w:val="22"/>
              </w:rPr>
              <w:t>作人</w:t>
            </w:r>
            <w:proofErr w:type="gramEnd"/>
            <w:r>
              <w:rPr>
                <w:szCs w:val="22"/>
              </w:rPr>
              <w:t>员开展培训。</w:t>
            </w:r>
          </w:p>
        </w:tc>
      </w:tr>
      <w:tr w:rsidR="00363CC0">
        <w:tc>
          <w:tcPr>
            <w:tcW w:w="817" w:type="dxa"/>
            <w:vAlign w:val="center"/>
          </w:tcPr>
          <w:p w:rsidR="00363CC0" w:rsidRDefault="00F24112">
            <w:pPr>
              <w:adjustRightInd w:val="0"/>
              <w:snapToGrid w:val="0"/>
              <w:rPr>
                <w:szCs w:val="22"/>
              </w:rPr>
            </w:pPr>
            <w:r>
              <w:rPr>
                <w:szCs w:val="22"/>
              </w:rPr>
              <w:t>五、其他</w:t>
            </w:r>
          </w:p>
        </w:tc>
        <w:tc>
          <w:tcPr>
            <w:tcW w:w="1559" w:type="dxa"/>
            <w:vAlign w:val="center"/>
          </w:tcPr>
          <w:p w:rsidR="00363CC0" w:rsidRDefault="00F24112">
            <w:pPr>
              <w:adjustRightInd w:val="0"/>
              <w:snapToGrid w:val="0"/>
              <w:rPr>
                <w:szCs w:val="22"/>
              </w:rPr>
            </w:pPr>
            <w:r>
              <w:rPr>
                <w:szCs w:val="22"/>
              </w:rPr>
              <w:t>其他风险管控</w:t>
            </w:r>
          </w:p>
        </w:tc>
        <w:tc>
          <w:tcPr>
            <w:tcW w:w="6946" w:type="dxa"/>
            <w:vAlign w:val="center"/>
          </w:tcPr>
          <w:p w:rsidR="00363CC0" w:rsidRDefault="00F24112">
            <w:pPr>
              <w:adjustRightInd w:val="0"/>
              <w:snapToGrid w:val="0"/>
              <w:rPr>
                <w:szCs w:val="22"/>
              </w:rPr>
            </w:pPr>
            <w:r>
              <w:rPr>
                <w:szCs w:val="22"/>
              </w:rPr>
              <w:t>工区长、班组长和关键岗位人员掌握作业区域和本岗位的安全风险及管控措施，组织作业时对其他安全风险管控措施落实情况进行现场确认。</w:t>
            </w:r>
          </w:p>
        </w:tc>
      </w:tr>
    </w:tbl>
    <w:p w:rsidR="00363CC0" w:rsidRDefault="00363CC0">
      <w:pPr>
        <w:adjustRightInd w:val="0"/>
        <w:snapToGrid w:val="0"/>
        <w:rPr>
          <w:szCs w:val="22"/>
        </w:rPr>
      </w:pPr>
    </w:p>
    <w:p w:rsidR="00363CC0" w:rsidRDefault="00363CC0">
      <w:pPr>
        <w:adjustRightInd w:val="0"/>
        <w:snapToGrid w:val="0"/>
        <w:rPr>
          <w:szCs w:val="22"/>
        </w:rPr>
      </w:pPr>
    </w:p>
    <w:p w:rsidR="00363CC0" w:rsidRDefault="00F24112">
      <w:pPr>
        <w:adjustRightInd w:val="0"/>
        <w:snapToGrid w:val="0"/>
        <w:jc w:val="left"/>
        <w:textAlignment w:val="baseline"/>
        <w:rPr>
          <w:rFonts w:eastAsia="黑体"/>
          <w:sz w:val="32"/>
          <w:szCs w:val="32"/>
        </w:rPr>
      </w:pPr>
      <w:r>
        <w:rPr>
          <w:rFonts w:eastAsia="黑体"/>
          <w:sz w:val="32"/>
          <w:szCs w:val="32"/>
        </w:rPr>
        <w:br w:type="page"/>
      </w:r>
      <w:r>
        <w:rPr>
          <w:rFonts w:eastAsia="黑体"/>
          <w:sz w:val="32"/>
          <w:szCs w:val="32"/>
        </w:rPr>
        <w:lastRenderedPageBreak/>
        <w:t>附件</w:t>
      </w:r>
      <w:r>
        <w:rPr>
          <w:rFonts w:eastAsia="黑体"/>
          <w:sz w:val="32"/>
          <w:szCs w:val="32"/>
        </w:rPr>
        <w:t>7</w:t>
      </w:r>
    </w:p>
    <w:p w:rsidR="00363CC0" w:rsidRDefault="00363CC0">
      <w:pPr>
        <w:adjustRightInd w:val="0"/>
        <w:snapToGrid w:val="0"/>
        <w:rPr>
          <w:szCs w:val="22"/>
        </w:rPr>
      </w:pPr>
    </w:p>
    <w:p w:rsidR="00363CC0" w:rsidRDefault="00F24112">
      <w:pPr>
        <w:adjustRightInd w:val="0"/>
        <w:snapToGrid w:val="0"/>
        <w:jc w:val="center"/>
        <w:rPr>
          <w:rFonts w:eastAsia="方正小标宋简体"/>
          <w:sz w:val="44"/>
          <w:szCs w:val="44"/>
        </w:rPr>
      </w:pPr>
      <w:r>
        <w:rPr>
          <w:rFonts w:eastAsia="方正小标宋简体"/>
          <w:sz w:val="44"/>
          <w:szCs w:val="44"/>
        </w:rPr>
        <w:t>非煤矿山企业隐患排查治理基本要求表</w:t>
      </w:r>
    </w:p>
    <w:p w:rsidR="00363CC0" w:rsidRDefault="00363C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6825"/>
      </w:tblGrid>
      <w:tr w:rsidR="00363CC0">
        <w:trPr>
          <w:trHeight w:val="509"/>
        </w:trPr>
        <w:tc>
          <w:tcPr>
            <w:tcW w:w="817" w:type="dxa"/>
            <w:vAlign w:val="center"/>
          </w:tcPr>
          <w:p w:rsidR="00363CC0" w:rsidRDefault="00F24112">
            <w:pPr>
              <w:adjustRightInd w:val="0"/>
              <w:snapToGrid w:val="0"/>
              <w:jc w:val="center"/>
              <w:rPr>
                <w:b/>
                <w:szCs w:val="22"/>
              </w:rPr>
            </w:pPr>
            <w:r>
              <w:rPr>
                <w:b/>
                <w:szCs w:val="22"/>
              </w:rPr>
              <w:t>项目</w:t>
            </w:r>
          </w:p>
        </w:tc>
        <w:tc>
          <w:tcPr>
            <w:tcW w:w="1418" w:type="dxa"/>
            <w:vAlign w:val="center"/>
          </w:tcPr>
          <w:p w:rsidR="00363CC0" w:rsidRDefault="00F24112">
            <w:pPr>
              <w:adjustRightInd w:val="0"/>
              <w:snapToGrid w:val="0"/>
              <w:jc w:val="center"/>
              <w:rPr>
                <w:b/>
                <w:szCs w:val="22"/>
              </w:rPr>
            </w:pPr>
            <w:r>
              <w:rPr>
                <w:b/>
                <w:szCs w:val="22"/>
              </w:rPr>
              <w:t>项目内容</w:t>
            </w:r>
          </w:p>
        </w:tc>
        <w:tc>
          <w:tcPr>
            <w:tcW w:w="6825" w:type="dxa"/>
            <w:vAlign w:val="center"/>
          </w:tcPr>
          <w:p w:rsidR="00363CC0" w:rsidRDefault="00F24112">
            <w:pPr>
              <w:adjustRightInd w:val="0"/>
              <w:snapToGrid w:val="0"/>
              <w:jc w:val="center"/>
              <w:rPr>
                <w:b/>
                <w:szCs w:val="22"/>
              </w:rPr>
            </w:pPr>
            <w:r>
              <w:rPr>
                <w:b/>
                <w:szCs w:val="22"/>
              </w:rPr>
              <w:t>基本要求</w:t>
            </w:r>
          </w:p>
        </w:tc>
      </w:tr>
      <w:tr w:rsidR="00363CC0">
        <w:trPr>
          <w:trHeight w:val="495"/>
        </w:trPr>
        <w:tc>
          <w:tcPr>
            <w:tcW w:w="817" w:type="dxa"/>
            <w:vMerge w:val="restart"/>
            <w:vAlign w:val="center"/>
          </w:tcPr>
          <w:p w:rsidR="00363CC0" w:rsidRDefault="00F24112">
            <w:pPr>
              <w:adjustRightInd w:val="0"/>
              <w:snapToGrid w:val="0"/>
              <w:rPr>
                <w:szCs w:val="22"/>
              </w:rPr>
            </w:pPr>
            <w:r>
              <w:rPr>
                <w:szCs w:val="22"/>
              </w:rPr>
              <w:t>一、工作机制</w:t>
            </w:r>
          </w:p>
        </w:tc>
        <w:tc>
          <w:tcPr>
            <w:tcW w:w="1418" w:type="dxa"/>
            <w:vAlign w:val="center"/>
          </w:tcPr>
          <w:p w:rsidR="00363CC0" w:rsidRDefault="00F24112">
            <w:pPr>
              <w:adjustRightInd w:val="0"/>
              <w:snapToGrid w:val="0"/>
              <w:jc w:val="center"/>
              <w:rPr>
                <w:szCs w:val="22"/>
              </w:rPr>
            </w:pPr>
            <w:r>
              <w:rPr>
                <w:szCs w:val="22"/>
              </w:rPr>
              <w:t>职责分工</w:t>
            </w:r>
          </w:p>
        </w:tc>
        <w:tc>
          <w:tcPr>
            <w:tcW w:w="6825" w:type="dxa"/>
            <w:vAlign w:val="center"/>
          </w:tcPr>
          <w:p w:rsidR="00363CC0" w:rsidRDefault="00F24112">
            <w:pPr>
              <w:adjustRightInd w:val="0"/>
              <w:snapToGrid w:val="0"/>
              <w:rPr>
                <w:szCs w:val="22"/>
              </w:rPr>
            </w:pPr>
            <w:r>
              <w:rPr>
                <w:szCs w:val="22"/>
              </w:rPr>
              <w:t>建立事故隐患排查治理工作责任体系，明确主要负责人全面负责、分管负责人负责分管范围内的事故隐患排查治理工作，各部门、工区、班组、岗位人员职责明确。</w:t>
            </w:r>
          </w:p>
        </w:tc>
      </w:tr>
      <w:tr w:rsidR="00363CC0">
        <w:trPr>
          <w:trHeight w:val="1275"/>
        </w:trPr>
        <w:tc>
          <w:tcPr>
            <w:tcW w:w="817" w:type="dxa"/>
            <w:vMerge/>
            <w:vAlign w:val="center"/>
          </w:tcPr>
          <w:p w:rsidR="00363CC0" w:rsidRDefault="00363CC0">
            <w:pPr>
              <w:adjustRightInd w:val="0"/>
              <w:snapToGrid w:val="0"/>
              <w:rPr>
                <w:szCs w:val="22"/>
              </w:rPr>
            </w:pPr>
          </w:p>
        </w:tc>
        <w:tc>
          <w:tcPr>
            <w:tcW w:w="1418" w:type="dxa"/>
            <w:vAlign w:val="center"/>
          </w:tcPr>
          <w:p w:rsidR="00363CC0" w:rsidRDefault="00F24112">
            <w:pPr>
              <w:adjustRightInd w:val="0"/>
              <w:snapToGrid w:val="0"/>
              <w:jc w:val="center"/>
              <w:rPr>
                <w:szCs w:val="22"/>
              </w:rPr>
            </w:pPr>
            <w:r>
              <w:rPr>
                <w:szCs w:val="22"/>
              </w:rPr>
              <w:t>制度建设</w:t>
            </w:r>
          </w:p>
        </w:tc>
        <w:tc>
          <w:tcPr>
            <w:tcW w:w="6825" w:type="dxa"/>
            <w:vAlign w:val="center"/>
          </w:tcPr>
          <w:p w:rsidR="00363CC0" w:rsidRDefault="00F24112">
            <w:pPr>
              <w:adjustRightInd w:val="0"/>
              <w:snapToGrid w:val="0"/>
              <w:rPr>
                <w:szCs w:val="22"/>
              </w:rPr>
            </w:pPr>
            <w:r>
              <w:rPr>
                <w:szCs w:val="22"/>
              </w:rPr>
              <w:t>建立《非煤矿山较大以上安全风险管控方案》措施落实情况检查和事故隐患排查治理相关制度</w:t>
            </w:r>
            <w:r>
              <w:rPr>
                <w:szCs w:val="22"/>
              </w:rPr>
              <w:t>,</w:t>
            </w:r>
            <w:r>
              <w:rPr>
                <w:szCs w:val="22"/>
              </w:rPr>
              <w:t>对较大以上安全风险管控措施落实及管</w:t>
            </w:r>
            <w:proofErr w:type="gramStart"/>
            <w:r>
              <w:rPr>
                <w:szCs w:val="22"/>
              </w:rPr>
              <w:t>控效果</w:t>
            </w:r>
            <w:proofErr w:type="gramEnd"/>
            <w:r>
              <w:rPr>
                <w:szCs w:val="22"/>
              </w:rPr>
              <w:t>标准，以及事故隐患</w:t>
            </w:r>
            <w:r>
              <w:rPr>
                <w:szCs w:val="22"/>
              </w:rPr>
              <w:t>(</w:t>
            </w:r>
            <w:proofErr w:type="gramStart"/>
            <w:r>
              <w:rPr>
                <w:szCs w:val="22"/>
              </w:rPr>
              <w:t>含措施</w:t>
            </w:r>
            <w:proofErr w:type="gramEnd"/>
            <w:r>
              <w:rPr>
                <w:szCs w:val="22"/>
              </w:rPr>
              <w:t>不落实情况</w:t>
            </w:r>
            <w:r>
              <w:rPr>
                <w:szCs w:val="22"/>
              </w:rPr>
              <w:t>)</w:t>
            </w:r>
            <w:r>
              <w:rPr>
                <w:szCs w:val="22"/>
              </w:rPr>
              <w:t>排查、登记、治理、督办、验收、销号、分析总结、检查考核工作</w:t>
            </w:r>
            <w:proofErr w:type="gramStart"/>
            <w:r>
              <w:rPr>
                <w:szCs w:val="22"/>
              </w:rPr>
              <w:t>作出</w:t>
            </w:r>
            <w:proofErr w:type="gramEnd"/>
            <w:r>
              <w:rPr>
                <w:szCs w:val="22"/>
              </w:rPr>
              <w:t>规定并落实。</w:t>
            </w:r>
          </w:p>
        </w:tc>
      </w:tr>
      <w:tr w:rsidR="00363CC0">
        <w:trPr>
          <w:trHeight w:val="444"/>
        </w:trPr>
        <w:tc>
          <w:tcPr>
            <w:tcW w:w="817" w:type="dxa"/>
            <w:vMerge/>
            <w:vAlign w:val="center"/>
          </w:tcPr>
          <w:p w:rsidR="00363CC0" w:rsidRDefault="00363CC0">
            <w:pPr>
              <w:adjustRightInd w:val="0"/>
              <w:snapToGrid w:val="0"/>
              <w:rPr>
                <w:szCs w:val="22"/>
              </w:rPr>
            </w:pPr>
          </w:p>
        </w:tc>
        <w:tc>
          <w:tcPr>
            <w:tcW w:w="1418" w:type="dxa"/>
            <w:vAlign w:val="center"/>
          </w:tcPr>
          <w:p w:rsidR="00363CC0" w:rsidRDefault="00F24112">
            <w:pPr>
              <w:adjustRightInd w:val="0"/>
              <w:snapToGrid w:val="0"/>
              <w:jc w:val="center"/>
              <w:rPr>
                <w:szCs w:val="22"/>
              </w:rPr>
            </w:pPr>
            <w:r>
              <w:rPr>
                <w:szCs w:val="22"/>
              </w:rPr>
              <w:t>分级管理</w:t>
            </w:r>
          </w:p>
        </w:tc>
        <w:tc>
          <w:tcPr>
            <w:tcW w:w="6825" w:type="dxa"/>
            <w:vAlign w:val="center"/>
          </w:tcPr>
          <w:p w:rsidR="00363CC0" w:rsidRDefault="00F24112">
            <w:pPr>
              <w:adjustRightInd w:val="0"/>
              <w:snapToGrid w:val="0"/>
              <w:rPr>
                <w:szCs w:val="22"/>
              </w:rPr>
            </w:pPr>
            <w:r>
              <w:rPr>
                <w:szCs w:val="22"/>
              </w:rPr>
              <w:t>按照事故隐患等级明确相应层级的单位</w:t>
            </w:r>
            <w:r>
              <w:rPr>
                <w:szCs w:val="22"/>
              </w:rPr>
              <w:t>(</w:t>
            </w:r>
            <w:r>
              <w:rPr>
                <w:szCs w:val="22"/>
              </w:rPr>
              <w:t>部门</w:t>
            </w:r>
            <w:r>
              <w:rPr>
                <w:szCs w:val="22"/>
              </w:rPr>
              <w:t>)</w:t>
            </w:r>
            <w:r>
              <w:rPr>
                <w:szCs w:val="22"/>
              </w:rPr>
              <w:t>、人员负责治理、督办、验收</w:t>
            </w:r>
          </w:p>
        </w:tc>
      </w:tr>
      <w:tr w:rsidR="00363CC0">
        <w:trPr>
          <w:trHeight w:val="4155"/>
        </w:trPr>
        <w:tc>
          <w:tcPr>
            <w:tcW w:w="817" w:type="dxa"/>
            <w:vMerge w:val="restart"/>
            <w:vAlign w:val="center"/>
          </w:tcPr>
          <w:p w:rsidR="00363CC0" w:rsidRDefault="00F24112">
            <w:pPr>
              <w:adjustRightInd w:val="0"/>
              <w:snapToGrid w:val="0"/>
              <w:rPr>
                <w:szCs w:val="22"/>
              </w:rPr>
            </w:pPr>
            <w:r>
              <w:rPr>
                <w:szCs w:val="22"/>
              </w:rPr>
              <w:t>二、事故隐患排查</w:t>
            </w:r>
          </w:p>
        </w:tc>
        <w:tc>
          <w:tcPr>
            <w:tcW w:w="1418" w:type="dxa"/>
            <w:vAlign w:val="center"/>
          </w:tcPr>
          <w:p w:rsidR="00363CC0" w:rsidRDefault="00F24112">
            <w:pPr>
              <w:adjustRightInd w:val="0"/>
              <w:snapToGrid w:val="0"/>
              <w:jc w:val="center"/>
              <w:rPr>
                <w:szCs w:val="22"/>
              </w:rPr>
            </w:pPr>
            <w:r>
              <w:rPr>
                <w:szCs w:val="22"/>
              </w:rPr>
              <w:t>周期范围</w:t>
            </w:r>
          </w:p>
        </w:tc>
        <w:tc>
          <w:tcPr>
            <w:tcW w:w="6825" w:type="dxa"/>
            <w:vAlign w:val="center"/>
          </w:tcPr>
          <w:p w:rsidR="00363CC0" w:rsidRDefault="00F24112">
            <w:pPr>
              <w:adjustRightInd w:val="0"/>
              <w:snapToGrid w:val="0"/>
              <w:rPr>
                <w:szCs w:val="22"/>
              </w:rPr>
            </w:pPr>
            <w:r>
              <w:rPr>
                <w:szCs w:val="22"/>
              </w:rPr>
              <w:t xml:space="preserve">1. </w:t>
            </w:r>
            <w:r>
              <w:rPr>
                <w:szCs w:val="22"/>
              </w:rPr>
              <w:t>主要负责人每月组织分管负责人及相关部门、工区对较大以上安全风险管控措施落实情况、管</w:t>
            </w:r>
            <w:proofErr w:type="gramStart"/>
            <w:r>
              <w:rPr>
                <w:szCs w:val="22"/>
              </w:rPr>
              <w:t>控效果</w:t>
            </w:r>
            <w:proofErr w:type="gramEnd"/>
            <w:r>
              <w:rPr>
                <w:szCs w:val="22"/>
              </w:rPr>
              <w:t>及覆盖生产各系统、各岗位的事故隐患至少开展</w:t>
            </w:r>
            <w:r>
              <w:rPr>
                <w:szCs w:val="22"/>
              </w:rPr>
              <w:t>1</w:t>
            </w:r>
            <w:r>
              <w:rPr>
                <w:szCs w:val="22"/>
              </w:rPr>
              <w:t>次排查</w:t>
            </w:r>
            <w:r>
              <w:rPr>
                <w:szCs w:val="22"/>
              </w:rPr>
              <w:t>;</w:t>
            </w:r>
            <w:r>
              <w:rPr>
                <w:szCs w:val="22"/>
              </w:rPr>
              <w:t>排查前制定工作方案</w:t>
            </w:r>
            <w:r>
              <w:rPr>
                <w:szCs w:val="22"/>
              </w:rPr>
              <w:t>,</w:t>
            </w:r>
            <w:r>
              <w:rPr>
                <w:szCs w:val="22"/>
              </w:rPr>
              <w:t>明确排查时间、方式、范围、内容和参加人员；</w:t>
            </w:r>
          </w:p>
          <w:p w:rsidR="00363CC0" w:rsidRDefault="00F24112">
            <w:pPr>
              <w:adjustRightInd w:val="0"/>
              <w:snapToGrid w:val="0"/>
              <w:rPr>
                <w:szCs w:val="22"/>
              </w:rPr>
            </w:pPr>
            <w:r>
              <w:rPr>
                <w:szCs w:val="22"/>
              </w:rPr>
              <w:t xml:space="preserve">2. </w:t>
            </w:r>
            <w:r>
              <w:rPr>
                <w:szCs w:val="22"/>
              </w:rPr>
              <w:t>分管采掘、机电运输、通风、地测防治水、尾矿库等工作的负责人每半个月组织相关人员对分管范围的较大以上安全风险管控措施落实情况、管</w:t>
            </w:r>
            <w:proofErr w:type="gramStart"/>
            <w:r>
              <w:rPr>
                <w:szCs w:val="22"/>
              </w:rPr>
              <w:t>控效果</w:t>
            </w:r>
            <w:proofErr w:type="gramEnd"/>
            <w:r>
              <w:rPr>
                <w:szCs w:val="22"/>
              </w:rPr>
              <w:t>和事故隐患至少开展</w:t>
            </w:r>
            <w:r>
              <w:rPr>
                <w:szCs w:val="22"/>
              </w:rPr>
              <w:t>1</w:t>
            </w:r>
            <w:r>
              <w:rPr>
                <w:szCs w:val="22"/>
              </w:rPr>
              <w:t>次排查；</w:t>
            </w:r>
          </w:p>
          <w:p w:rsidR="00363CC0" w:rsidRDefault="00F24112">
            <w:pPr>
              <w:adjustRightInd w:val="0"/>
              <w:snapToGrid w:val="0"/>
              <w:rPr>
                <w:szCs w:val="22"/>
              </w:rPr>
            </w:pPr>
            <w:r>
              <w:rPr>
                <w:szCs w:val="22"/>
              </w:rPr>
              <w:t xml:space="preserve">3. </w:t>
            </w:r>
            <w:r>
              <w:rPr>
                <w:szCs w:val="22"/>
              </w:rPr>
              <w:t>矿领导带班下井过程中跟踪带班区域较大以上安全风险管控措施落实情况，排查事故隐患，记录较大以上安全风险管控措施落实情况和事故隐患排查情况</w:t>
            </w:r>
            <w:r>
              <w:rPr>
                <w:szCs w:val="22"/>
              </w:rPr>
              <w:t>；</w:t>
            </w:r>
          </w:p>
          <w:p w:rsidR="00363CC0" w:rsidRDefault="00F24112">
            <w:pPr>
              <w:adjustRightInd w:val="0"/>
              <w:snapToGrid w:val="0"/>
              <w:rPr>
                <w:szCs w:val="22"/>
              </w:rPr>
            </w:pPr>
            <w:r>
              <w:rPr>
                <w:szCs w:val="22"/>
              </w:rPr>
              <w:t xml:space="preserve">4. </w:t>
            </w:r>
            <w:r>
              <w:rPr>
                <w:szCs w:val="22"/>
              </w:rPr>
              <w:t>生产期间，每天安排管理、技术和专职安全员进行巡查，对作业区域开展事故隐患排查；</w:t>
            </w:r>
          </w:p>
          <w:p w:rsidR="00363CC0" w:rsidRDefault="00F24112">
            <w:pPr>
              <w:adjustRightInd w:val="0"/>
              <w:snapToGrid w:val="0"/>
              <w:rPr>
                <w:szCs w:val="22"/>
              </w:rPr>
            </w:pPr>
            <w:r>
              <w:rPr>
                <w:szCs w:val="22"/>
              </w:rPr>
              <w:t xml:space="preserve">5. </w:t>
            </w:r>
            <w:r>
              <w:rPr>
                <w:szCs w:val="22"/>
              </w:rPr>
              <w:t>岗位作业人员作业过程中随时排</w:t>
            </w:r>
            <w:proofErr w:type="gramStart"/>
            <w:r>
              <w:rPr>
                <w:szCs w:val="22"/>
              </w:rPr>
              <w:t>査</w:t>
            </w:r>
            <w:proofErr w:type="gramEnd"/>
            <w:r>
              <w:rPr>
                <w:szCs w:val="22"/>
              </w:rPr>
              <w:t>事故隐患。</w:t>
            </w:r>
          </w:p>
        </w:tc>
      </w:tr>
      <w:tr w:rsidR="00363CC0">
        <w:trPr>
          <w:trHeight w:val="459"/>
        </w:trPr>
        <w:tc>
          <w:tcPr>
            <w:tcW w:w="817" w:type="dxa"/>
            <w:vMerge/>
            <w:vAlign w:val="center"/>
          </w:tcPr>
          <w:p w:rsidR="00363CC0" w:rsidRDefault="00363CC0">
            <w:pPr>
              <w:adjustRightInd w:val="0"/>
              <w:snapToGrid w:val="0"/>
              <w:rPr>
                <w:szCs w:val="22"/>
              </w:rPr>
            </w:pPr>
          </w:p>
        </w:tc>
        <w:tc>
          <w:tcPr>
            <w:tcW w:w="1418" w:type="dxa"/>
            <w:vMerge w:val="restart"/>
            <w:vAlign w:val="center"/>
          </w:tcPr>
          <w:p w:rsidR="00363CC0" w:rsidRDefault="00F24112">
            <w:pPr>
              <w:adjustRightInd w:val="0"/>
              <w:snapToGrid w:val="0"/>
              <w:jc w:val="center"/>
              <w:rPr>
                <w:szCs w:val="22"/>
              </w:rPr>
            </w:pPr>
            <w:r>
              <w:rPr>
                <w:szCs w:val="22"/>
              </w:rPr>
              <w:t>登记上报</w:t>
            </w:r>
          </w:p>
        </w:tc>
        <w:tc>
          <w:tcPr>
            <w:tcW w:w="6825" w:type="dxa"/>
            <w:vAlign w:val="center"/>
          </w:tcPr>
          <w:p w:rsidR="00363CC0" w:rsidRDefault="00F24112">
            <w:pPr>
              <w:adjustRightInd w:val="0"/>
              <w:snapToGrid w:val="0"/>
              <w:rPr>
                <w:szCs w:val="22"/>
              </w:rPr>
            </w:pPr>
            <w:r>
              <w:rPr>
                <w:szCs w:val="22"/>
              </w:rPr>
              <w:t>建立事故隐患排查台账</w:t>
            </w:r>
            <w:r>
              <w:rPr>
                <w:szCs w:val="22"/>
              </w:rPr>
              <w:t>,</w:t>
            </w:r>
            <w:r>
              <w:rPr>
                <w:szCs w:val="22"/>
              </w:rPr>
              <w:t>逐项登记内部排查和外部检查的事故隐患。</w:t>
            </w:r>
          </w:p>
        </w:tc>
      </w:tr>
      <w:tr w:rsidR="00363CC0">
        <w:trPr>
          <w:trHeight w:val="707"/>
        </w:trPr>
        <w:tc>
          <w:tcPr>
            <w:tcW w:w="817" w:type="dxa"/>
            <w:vMerge/>
            <w:vAlign w:val="center"/>
          </w:tcPr>
          <w:p w:rsidR="00363CC0" w:rsidRDefault="00363CC0">
            <w:pPr>
              <w:adjustRightInd w:val="0"/>
              <w:snapToGrid w:val="0"/>
              <w:rPr>
                <w:szCs w:val="22"/>
              </w:rPr>
            </w:pPr>
          </w:p>
        </w:tc>
        <w:tc>
          <w:tcPr>
            <w:tcW w:w="1418" w:type="dxa"/>
            <w:vMerge/>
            <w:vAlign w:val="center"/>
          </w:tcPr>
          <w:p w:rsidR="00363CC0" w:rsidRDefault="00363CC0">
            <w:pPr>
              <w:adjustRightInd w:val="0"/>
              <w:snapToGrid w:val="0"/>
              <w:jc w:val="center"/>
              <w:rPr>
                <w:szCs w:val="22"/>
              </w:rPr>
            </w:pPr>
          </w:p>
        </w:tc>
        <w:tc>
          <w:tcPr>
            <w:tcW w:w="6825" w:type="dxa"/>
            <w:vAlign w:val="center"/>
          </w:tcPr>
          <w:p w:rsidR="00363CC0" w:rsidRDefault="00F24112">
            <w:pPr>
              <w:adjustRightInd w:val="0"/>
              <w:snapToGrid w:val="0"/>
              <w:rPr>
                <w:szCs w:val="22"/>
              </w:rPr>
            </w:pPr>
            <w:r>
              <w:rPr>
                <w:szCs w:val="22"/>
              </w:rPr>
              <w:t>排查发现重大事故隐患后</w:t>
            </w:r>
            <w:r>
              <w:rPr>
                <w:szCs w:val="22"/>
              </w:rPr>
              <w:t>,</w:t>
            </w:r>
            <w:r>
              <w:rPr>
                <w:szCs w:val="22"/>
              </w:rPr>
              <w:t>及时向当地应急管理部门书面报告</w:t>
            </w:r>
            <w:r>
              <w:rPr>
                <w:szCs w:val="22"/>
              </w:rPr>
              <w:t>,</w:t>
            </w:r>
            <w:r>
              <w:rPr>
                <w:szCs w:val="22"/>
              </w:rPr>
              <w:t>并建立重大事故隐患清单。</w:t>
            </w:r>
          </w:p>
        </w:tc>
      </w:tr>
      <w:tr w:rsidR="00363CC0">
        <w:trPr>
          <w:trHeight w:val="615"/>
        </w:trPr>
        <w:tc>
          <w:tcPr>
            <w:tcW w:w="817" w:type="dxa"/>
            <w:vMerge w:val="restart"/>
            <w:vAlign w:val="center"/>
          </w:tcPr>
          <w:p w:rsidR="00363CC0" w:rsidRDefault="00F24112">
            <w:pPr>
              <w:adjustRightInd w:val="0"/>
              <w:snapToGrid w:val="0"/>
              <w:rPr>
                <w:szCs w:val="22"/>
              </w:rPr>
            </w:pPr>
            <w:r>
              <w:rPr>
                <w:szCs w:val="22"/>
              </w:rPr>
              <w:t>三、安全风险管控</w:t>
            </w:r>
          </w:p>
        </w:tc>
        <w:tc>
          <w:tcPr>
            <w:tcW w:w="1418" w:type="dxa"/>
            <w:vAlign w:val="center"/>
          </w:tcPr>
          <w:p w:rsidR="00363CC0" w:rsidRDefault="00F24112">
            <w:pPr>
              <w:adjustRightInd w:val="0"/>
              <w:snapToGrid w:val="0"/>
              <w:jc w:val="center"/>
              <w:rPr>
                <w:szCs w:val="22"/>
              </w:rPr>
            </w:pPr>
            <w:r>
              <w:rPr>
                <w:szCs w:val="22"/>
              </w:rPr>
              <w:t>分级治理</w:t>
            </w:r>
          </w:p>
        </w:tc>
        <w:tc>
          <w:tcPr>
            <w:tcW w:w="6825" w:type="dxa"/>
            <w:vAlign w:val="center"/>
          </w:tcPr>
          <w:p w:rsidR="00363CC0" w:rsidRDefault="00F24112">
            <w:pPr>
              <w:adjustRightInd w:val="0"/>
              <w:snapToGrid w:val="0"/>
              <w:rPr>
                <w:szCs w:val="22"/>
              </w:rPr>
            </w:pPr>
            <w:r>
              <w:rPr>
                <w:szCs w:val="22"/>
              </w:rPr>
              <w:t xml:space="preserve">1. </w:t>
            </w:r>
            <w:r>
              <w:rPr>
                <w:szCs w:val="22"/>
              </w:rPr>
              <w:t>重大事故隐患由主要负责人按照责任、措施、资金、时限、预案</w:t>
            </w:r>
            <w:r>
              <w:rPr>
                <w:szCs w:val="22"/>
              </w:rPr>
              <w:t>“</w:t>
            </w:r>
            <w:r>
              <w:rPr>
                <w:szCs w:val="22"/>
              </w:rPr>
              <w:t>五落实</w:t>
            </w:r>
            <w:r>
              <w:rPr>
                <w:szCs w:val="22"/>
              </w:rPr>
              <w:t>”</w:t>
            </w:r>
            <w:r>
              <w:rPr>
                <w:szCs w:val="22"/>
              </w:rPr>
              <w:t>的原则，组织制定专项治理方案，并组织实施，治理方案按规定及时上报；</w:t>
            </w:r>
          </w:p>
          <w:p w:rsidR="00363CC0" w:rsidRDefault="00F24112">
            <w:pPr>
              <w:adjustRightInd w:val="0"/>
              <w:snapToGrid w:val="0"/>
              <w:rPr>
                <w:szCs w:val="22"/>
              </w:rPr>
            </w:pPr>
            <w:r>
              <w:rPr>
                <w:szCs w:val="22"/>
              </w:rPr>
              <w:t xml:space="preserve">2. </w:t>
            </w:r>
            <w:r>
              <w:rPr>
                <w:szCs w:val="22"/>
              </w:rPr>
              <w:t>不能立即治理完成的事故隐患，明确治理责任单位</w:t>
            </w:r>
            <w:r>
              <w:rPr>
                <w:szCs w:val="22"/>
              </w:rPr>
              <w:t>(</w:t>
            </w:r>
            <w:r>
              <w:rPr>
                <w:szCs w:val="22"/>
              </w:rPr>
              <w:t>责任人</w:t>
            </w:r>
            <w:r>
              <w:rPr>
                <w:szCs w:val="22"/>
              </w:rPr>
              <w:t>)</w:t>
            </w:r>
            <w:r>
              <w:rPr>
                <w:szCs w:val="22"/>
              </w:rPr>
              <w:t>、治理措施、资金、时限，并组织实施；</w:t>
            </w:r>
          </w:p>
          <w:p w:rsidR="00363CC0" w:rsidRDefault="00F24112">
            <w:pPr>
              <w:adjustRightInd w:val="0"/>
              <w:snapToGrid w:val="0"/>
              <w:rPr>
                <w:szCs w:val="22"/>
              </w:rPr>
            </w:pPr>
            <w:r>
              <w:rPr>
                <w:szCs w:val="22"/>
              </w:rPr>
              <w:t xml:space="preserve">3. </w:t>
            </w:r>
            <w:r>
              <w:rPr>
                <w:szCs w:val="22"/>
              </w:rPr>
              <w:t>能够立即治理完成的事故隐患，当班采取措施，及时治理消除，并记入班组</w:t>
            </w:r>
            <w:proofErr w:type="gramStart"/>
            <w:r>
              <w:rPr>
                <w:szCs w:val="22"/>
              </w:rPr>
              <w:t>隐患台</w:t>
            </w:r>
            <w:proofErr w:type="gramEnd"/>
            <w:r>
              <w:rPr>
                <w:szCs w:val="22"/>
              </w:rPr>
              <w:t>账；</w:t>
            </w:r>
          </w:p>
          <w:p w:rsidR="00363CC0" w:rsidRDefault="00F24112">
            <w:pPr>
              <w:adjustRightInd w:val="0"/>
              <w:snapToGrid w:val="0"/>
              <w:rPr>
                <w:szCs w:val="22"/>
              </w:rPr>
            </w:pPr>
            <w:r>
              <w:rPr>
                <w:szCs w:val="22"/>
              </w:rPr>
              <w:t xml:space="preserve">4. </w:t>
            </w:r>
            <w:r>
              <w:rPr>
                <w:szCs w:val="22"/>
              </w:rPr>
              <w:t>在重大安全风险区域作业的工区长、班组长掌握并落实该区域重大安全风险及相应的管控措施</w:t>
            </w:r>
            <w:r>
              <w:rPr>
                <w:szCs w:val="22"/>
              </w:rPr>
              <w:t>;</w:t>
            </w:r>
            <w:r>
              <w:rPr>
                <w:szCs w:val="22"/>
              </w:rPr>
              <w:t>工区长、班组长组织作业时对管控措施落实情</w:t>
            </w:r>
            <w:r>
              <w:rPr>
                <w:szCs w:val="22"/>
              </w:rPr>
              <w:lastRenderedPageBreak/>
              <w:t>况进行现场确认。</w:t>
            </w:r>
          </w:p>
        </w:tc>
      </w:tr>
      <w:tr w:rsidR="00363CC0">
        <w:trPr>
          <w:trHeight w:val="630"/>
        </w:trPr>
        <w:tc>
          <w:tcPr>
            <w:tcW w:w="817" w:type="dxa"/>
            <w:vMerge/>
            <w:vAlign w:val="center"/>
          </w:tcPr>
          <w:p w:rsidR="00363CC0" w:rsidRDefault="00363CC0">
            <w:pPr>
              <w:adjustRightInd w:val="0"/>
              <w:snapToGrid w:val="0"/>
              <w:rPr>
                <w:szCs w:val="22"/>
              </w:rPr>
            </w:pPr>
          </w:p>
        </w:tc>
        <w:tc>
          <w:tcPr>
            <w:tcW w:w="1418" w:type="dxa"/>
            <w:vAlign w:val="center"/>
          </w:tcPr>
          <w:p w:rsidR="00363CC0" w:rsidRDefault="00F24112">
            <w:pPr>
              <w:adjustRightInd w:val="0"/>
              <w:snapToGrid w:val="0"/>
              <w:jc w:val="center"/>
              <w:rPr>
                <w:szCs w:val="22"/>
              </w:rPr>
            </w:pPr>
            <w:r>
              <w:rPr>
                <w:szCs w:val="22"/>
              </w:rPr>
              <w:t>安全措施</w:t>
            </w:r>
          </w:p>
        </w:tc>
        <w:tc>
          <w:tcPr>
            <w:tcW w:w="6825" w:type="dxa"/>
            <w:vAlign w:val="center"/>
          </w:tcPr>
          <w:p w:rsidR="00363CC0" w:rsidRDefault="00F24112">
            <w:pPr>
              <w:adjustRightInd w:val="0"/>
              <w:snapToGrid w:val="0"/>
              <w:rPr>
                <w:szCs w:val="22"/>
              </w:rPr>
            </w:pPr>
            <w:r>
              <w:rPr>
                <w:szCs w:val="22"/>
              </w:rPr>
              <w:t xml:space="preserve">1. </w:t>
            </w:r>
            <w:r>
              <w:rPr>
                <w:szCs w:val="22"/>
              </w:rPr>
              <w:t>对治理过程中存在危险的事故隐患治理有安全措施，并落实到位；</w:t>
            </w:r>
          </w:p>
          <w:p w:rsidR="00363CC0" w:rsidRDefault="00F24112">
            <w:pPr>
              <w:adjustRightInd w:val="0"/>
              <w:snapToGrid w:val="0"/>
              <w:rPr>
                <w:szCs w:val="22"/>
              </w:rPr>
            </w:pPr>
            <w:r>
              <w:rPr>
                <w:szCs w:val="22"/>
              </w:rPr>
              <w:t xml:space="preserve">2. </w:t>
            </w:r>
            <w:r>
              <w:rPr>
                <w:szCs w:val="22"/>
              </w:rPr>
              <w:t>对治理过程危险性较大的事故隐患</w:t>
            </w:r>
            <w:r>
              <w:rPr>
                <w:szCs w:val="22"/>
              </w:rPr>
              <w:t>(</w:t>
            </w:r>
            <w:r>
              <w:rPr>
                <w:szCs w:val="22"/>
              </w:rPr>
              <w:t>指可能危及治理人员及接近治理区人员安全</w:t>
            </w:r>
            <w:r>
              <w:rPr>
                <w:szCs w:val="22"/>
              </w:rPr>
              <w:t>,</w:t>
            </w:r>
            <w:r>
              <w:rPr>
                <w:szCs w:val="22"/>
              </w:rPr>
              <w:t>如爆炸、人员坠落、坠物、冒顶、电击、机械伤人等</w:t>
            </w:r>
            <w:r>
              <w:rPr>
                <w:szCs w:val="22"/>
              </w:rPr>
              <w:t>),</w:t>
            </w:r>
            <w:r>
              <w:rPr>
                <w:szCs w:val="22"/>
              </w:rPr>
              <w:t>应制</w:t>
            </w:r>
            <w:proofErr w:type="gramStart"/>
            <w:r>
              <w:rPr>
                <w:szCs w:val="22"/>
              </w:rPr>
              <w:t>定现场</w:t>
            </w:r>
            <w:proofErr w:type="gramEnd"/>
            <w:r>
              <w:rPr>
                <w:szCs w:val="22"/>
              </w:rPr>
              <w:t>处置方案</w:t>
            </w:r>
            <w:r>
              <w:rPr>
                <w:szCs w:val="22"/>
              </w:rPr>
              <w:t>,</w:t>
            </w:r>
            <w:r>
              <w:rPr>
                <w:szCs w:val="22"/>
              </w:rPr>
              <w:t>治理过程中现场有专人指挥</w:t>
            </w:r>
            <w:r>
              <w:rPr>
                <w:szCs w:val="22"/>
              </w:rPr>
              <w:t>,</w:t>
            </w:r>
            <w:r>
              <w:rPr>
                <w:szCs w:val="22"/>
              </w:rPr>
              <w:t>并设置警示标识</w:t>
            </w:r>
            <w:r>
              <w:rPr>
                <w:szCs w:val="22"/>
              </w:rPr>
              <w:t>;</w:t>
            </w:r>
            <w:r>
              <w:rPr>
                <w:szCs w:val="22"/>
              </w:rPr>
              <w:t>安检员现场监督。</w:t>
            </w:r>
          </w:p>
        </w:tc>
      </w:tr>
      <w:tr w:rsidR="00363CC0">
        <w:trPr>
          <w:trHeight w:val="510"/>
        </w:trPr>
        <w:tc>
          <w:tcPr>
            <w:tcW w:w="817" w:type="dxa"/>
            <w:vMerge w:val="restart"/>
            <w:vAlign w:val="center"/>
          </w:tcPr>
          <w:p w:rsidR="00363CC0" w:rsidRDefault="00F24112">
            <w:pPr>
              <w:adjustRightInd w:val="0"/>
              <w:snapToGrid w:val="0"/>
              <w:rPr>
                <w:szCs w:val="22"/>
              </w:rPr>
            </w:pPr>
            <w:r>
              <w:rPr>
                <w:szCs w:val="22"/>
              </w:rPr>
              <w:t>四、监督管理</w:t>
            </w:r>
          </w:p>
        </w:tc>
        <w:tc>
          <w:tcPr>
            <w:tcW w:w="1418" w:type="dxa"/>
            <w:vAlign w:val="center"/>
          </w:tcPr>
          <w:p w:rsidR="00363CC0" w:rsidRDefault="00F24112">
            <w:pPr>
              <w:adjustRightInd w:val="0"/>
              <w:snapToGrid w:val="0"/>
              <w:jc w:val="center"/>
              <w:rPr>
                <w:szCs w:val="22"/>
              </w:rPr>
            </w:pPr>
            <w:r>
              <w:rPr>
                <w:szCs w:val="22"/>
              </w:rPr>
              <w:t>治理督办</w:t>
            </w:r>
          </w:p>
        </w:tc>
        <w:tc>
          <w:tcPr>
            <w:tcW w:w="6825" w:type="dxa"/>
            <w:vAlign w:val="center"/>
          </w:tcPr>
          <w:p w:rsidR="00363CC0" w:rsidRDefault="00F24112">
            <w:pPr>
              <w:adjustRightInd w:val="0"/>
              <w:snapToGrid w:val="0"/>
              <w:rPr>
                <w:szCs w:val="22"/>
              </w:rPr>
            </w:pPr>
            <w:r>
              <w:rPr>
                <w:szCs w:val="22"/>
              </w:rPr>
              <w:t xml:space="preserve">1. </w:t>
            </w:r>
            <w:r>
              <w:rPr>
                <w:szCs w:val="22"/>
              </w:rPr>
              <w:t>明确事故隐患治理督办的责任单位</w:t>
            </w:r>
            <w:r>
              <w:rPr>
                <w:szCs w:val="22"/>
              </w:rPr>
              <w:t>(</w:t>
            </w:r>
            <w:r>
              <w:rPr>
                <w:szCs w:val="22"/>
              </w:rPr>
              <w:t>部门</w:t>
            </w:r>
            <w:r>
              <w:rPr>
                <w:szCs w:val="22"/>
              </w:rPr>
              <w:t>)</w:t>
            </w:r>
            <w:r>
              <w:rPr>
                <w:szCs w:val="22"/>
              </w:rPr>
              <w:t>和责任人员</w:t>
            </w:r>
            <w:r>
              <w:rPr>
                <w:szCs w:val="22"/>
              </w:rPr>
              <w:t>;</w:t>
            </w:r>
          </w:p>
          <w:p w:rsidR="00363CC0" w:rsidRDefault="00F24112">
            <w:pPr>
              <w:adjustRightInd w:val="0"/>
              <w:snapToGrid w:val="0"/>
              <w:rPr>
                <w:szCs w:val="22"/>
              </w:rPr>
            </w:pPr>
            <w:r>
              <w:rPr>
                <w:szCs w:val="22"/>
              </w:rPr>
              <w:t>2.</w:t>
            </w:r>
            <w:r>
              <w:rPr>
                <w:szCs w:val="22"/>
              </w:rPr>
              <w:t>对未按规定完成治理的事故隐患</w:t>
            </w:r>
            <w:r>
              <w:rPr>
                <w:szCs w:val="22"/>
              </w:rPr>
              <w:t>,</w:t>
            </w:r>
            <w:r>
              <w:rPr>
                <w:szCs w:val="22"/>
              </w:rPr>
              <w:t>由上一层级单位</w:t>
            </w:r>
            <w:r>
              <w:rPr>
                <w:szCs w:val="22"/>
              </w:rPr>
              <w:t>(</w:t>
            </w:r>
            <w:r>
              <w:rPr>
                <w:szCs w:val="22"/>
              </w:rPr>
              <w:t>部门</w:t>
            </w:r>
            <w:r>
              <w:rPr>
                <w:szCs w:val="22"/>
              </w:rPr>
              <w:t>)</w:t>
            </w:r>
            <w:r>
              <w:rPr>
                <w:szCs w:val="22"/>
              </w:rPr>
              <w:t>和人员实施督办；</w:t>
            </w:r>
          </w:p>
          <w:p w:rsidR="00363CC0" w:rsidRDefault="00F24112">
            <w:pPr>
              <w:adjustRightInd w:val="0"/>
              <w:snapToGrid w:val="0"/>
              <w:rPr>
                <w:szCs w:val="22"/>
              </w:rPr>
            </w:pPr>
            <w:r>
              <w:rPr>
                <w:szCs w:val="22"/>
              </w:rPr>
              <w:t>3.</w:t>
            </w:r>
            <w:r>
              <w:rPr>
                <w:szCs w:val="22"/>
              </w:rPr>
              <w:t>挂牌督办的重大事故隐患，治理责任单位</w:t>
            </w:r>
            <w:r>
              <w:rPr>
                <w:szCs w:val="22"/>
              </w:rPr>
              <w:t>(</w:t>
            </w:r>
            <w:r>
              <w:rPr>
                <w:szCs w:val="22"/>
              </w:rPr>
              <w:t>部门</w:t>
            </w:r>
            <w:r>
              <w:rPr>
                <w:szCs w:val="22"/>
              </w:rPr>
              <w:t>)</w:t>
            </w:r>
            <w:r>
              <w:rPr>
                <w:szCs w:val="22"/>
              </w:rPr>
              <w:t>及时记录治理情况和工作进展，并按规定上报。</w:t>
            </w:r>
          </w:p>
        </w:tc>
      </w:tr>
      <w:tr w:rsidR="00363CC0">
        <w:trPr>
          <w:trHeight w:val="945"/>
        </w:trPr>
        <w:tc>
          <w:tcPr>
            <w:tcW w:w="817" w:type="dxa"/>
            <w:vMerge/>
            <w:vAlign w:val="center"/>
          </w:tcPr>
          <w:p w:rsidR="00363CC0" w:rsidRDefault="00363CC0">
            <w:pPr>
              <w:adjustRightInd w:val="0"/>
              <w:snapToGrid w:val="0"/>
              <w:rPr>
                <w:szCs w:val="22"/>
              </w:rPr>
            </w:pPr>
          </w:p>
        </w:tc>
        <w:tc>
          <w:tcPr>
            <w:tcW w:w="1418" w:type="dxa"/>
            <w:vAlign w:val="center"/>
          </w:tcPr>
          <w:p w:rsidR="00363CC0" w:rsidRDefault="00F24112">
            <w:pPr>
              <w:adjustRightInd w:val="0"/>
              <w:snapToGrid w:val="0"/>
              <w:jc w:val="center"/>
              <w:rPr>
                <w:szCs w:val="22"/>
              </w:rPr>
            </w:pPr>
            <w:r>
              <w:rPr>
                <w:szCs w:val="22"/>
              </w:rPr>
              <w:t>验收销号</w:t>
            </w:r>
          </w:p>
        </w:tc>
        <w:tc>
          <w:tcPr>
            <w:tcW w:w="6825" w:type="dxa"/>
            <w:vAlign w:val="center"/>
          </w:tcPr>
          <w:p w:rsidR="00363CC0" w:rsidRDefault="00F24112">
            <w:pPr>
              <w:adjustRightInd w:val="0"/>
              <w:snapToGrid w:val="0"/>
              <w:rPr>
                <w:szCs w:val="22"/>
              </w:rPr>
            </w:pPr>
            <w:r>
              <w:rPr>
                <w:szCs w:val="22"/>
              </w:rPr>
              <w:t xml:space="preserve">1. </w:t>
            </w:r>
            <w:r>
              <w:rPr>
                <w:szCs w:val="22"/>
              </w:rPr>
              <w:t>自行排查发现的事故隐患完成治理后</w:t>
            </w:r>
            <w:r>
              <w:rPr>
                <w:szCs w:val="22"/>
              </w:rPr>
              <w:t>,</w:t>
            </w:r>
            <w:r>
              <w:rPr>
                <w:szCs w:val="22"/>
              </w:rPr>
              <w:t>由验收责任单位</w:t>
            </w:r>
            <w:r>
              <w:rPr>
                <w:szCs w:val="22"/>
              </w:rPr>
              <w:t>(</w:t>
            </w:r>
            <w:r>
              <w:rPr>
                <w:szCs w:val="22"/>
              </w:rPr>
              <w:t>部门</w:t>
            </w:r>
            <w:r>
              <w:rPr>
                <w:szCs w:val="22"/>
              </w:rPr>
              <w:t>)</w:t>
            </w:r>
            <w:r>
              <w:rPr>
                <w:szCs w:val="22"/>
              </w:rPr>
              <w:t>或人员负责验收</w:t>
            </w:r>
            <w:r>
              <w:rPr>
                <w:szCs w:val="22"/>
              </w:rPr>
              <w:t>,</w:t>
            </w:r>
            <w:r>
              <w:rPr>
                <w:szCs w:val="22"/>
              </w:rPr>
              <w:t>验收合格后予以销号；</w:t>
            </w:r>
          </w:p>
          <w:p w:rsidR="00363CC0" w:rsidRDefault="00F24112">
            <w:pPr>
              <w:adjustRightInd w:val="0"/>
              <w:snapToGrid w:val="0"/>
              <w:rPr>
                <w:szCs w:val="22"/>
              </w:rPr>
            </w:pPr>
            <w:r>
              <w:rPr>
                <w:szCs w:val="22"/>
              </w:rPr>
              <w:t xml:space="preserve">2. </w:t>
            </w:r>
            <w:r>
              <w:rPr>
                <w:szCs w:val="22"/>
              </w:rPr>
              <w:t>应急管理部门检查发现的事故隐患，完成治理后，书面报告发现部门。</w:t>
            </w:r>
          </w:p>
        </w:tc>
      </w:tr>
      <w:tr w:rsidR="00363CC0">
        <w:trPr>
          <w:trHeight w:val="859"/>
        </w:trPr>
        <w:tc>
          <w:tcPr>
            <w:tcW w:w="817" w:type="dxa"/>
            <w:vMerge/>
            <w:vAlign w:val="center"/>
          </w:tcPr>
          <w:p w:rsidR="00363CC0" w:rsidRDefault="00363CC0">
            <w:pPr>
              <w:adjustRightInd w:val="0"/>
              <w:snapToGrid w:val="0"/>
              <w:rPr>
                <w:szCs w:val="22"/>
              </w:rPr>
            </w:pPr>
          </w:p>
        </w:tc>
        <w:tc>
          <w:tcPr>
            <w:tcW w:w="1418" w:type="dxa"/>
            <w:vAlign w:val="center"/>
          </w:tcPr>
          <w:p w:rsidR="00363CC0" w:rsidRDefault="00F24112">
            <w:pPr>
              <w:adjustRightInd w:val="0"/>
              <w:snapToGrid w:val="0"/>
              <w:jc w:val="center"/>
              <w:rPr>
                <w:szCs w:val="22"/>
              </w:rPr>
            </w:pPr>
            <w:r>
              <w:rPr>
                <w:szCs w:val="22"/>
              </w:rPr>
              <w:t>公示监督</w:t>
            </w:r>
          </w:p>
        </w:tc>
        <w:tc>
          <w:tcPr>
            <w:tcW w:w="6825" w:type="dxa"/>
            <w:vAlign w:val="center"/>
          </w:tcPr>
          <w:p w:rsidR="00363CC0" w:rsidRDefault="00F24112">
            <w:pPr>
              <w:adjustRightInd w:val="0"/>
              <w:snapToGrid w:val="0"/>
              <w:rPr>
                <w:szCs w:val="22"/>
              </w:rPr>
            </w:pPr>
            <w:r>
              <w:rPr>
                <w:szCs w:val="22"/>
              </w:rPr>
              <w:t>1.</w:t>
            </w:r>
            <w:r>
              <w:rPr>
                <w:szCs w:val="22"/>
              </w:rPr>
              <w:t>每月向从业人员通报事故隐患分布、治理进展情况</w:t>
            </w:r>
            <w:r>
              <w:rPr>
                <w:szCs w:val="22"/>
              </w:rPr>
              <w:t>;</w:t>
            </w:r>
          </w:p>
          <w:p w:rsidR="00363CC0" w:rsidRDefault="00F24112">
            <w:pPr>
              <w:adjustRightInd w:val="0"/>
              <w:snapToGrid w:val="0"/>
              <w:rPr>
                <w:szCs w:val="22"/>
              </w:rPr>
            </w:pPr>
            <w:r>
              <w:rPr>
                <w:szCs w:val="22"/>
              </w:rPr>
              <w:t>2.</w:t>
            </w:r>
            <w:r>
              <w:rPr>
                <w:szCs w:val="22"/>
              </w:rPr>
              <w:t>及时在矿山入井口、尾矿库初期坝、交接班室等醒目位置公示重大事故隐患的地点、主要内容、治理时限、责任人、停产停工范围。</w:t>
            </w:r>
          </w:p>
        </w:tc>
      </w:tr>
      <w:tr w:rsidR="00363CC0">
        <w:trPr>
          <w:trHeight w:val="624"/>
        </w:trPr>
        <w:tc>
          <w:tcPr>
            <w:tcW w:w="817" w:type="dxa"/>
            <w:vMerge w:val="restart"/>
            <w:vAlign w:val="center"/>
          </w:tcPr>
          <w:p w:rsidR="00363CC0" w:rsidRDefault="00F24112">
            <w:pPr>
              <w:adjustRightInd w:val="0"/>
              <w:snapToGrid w:val="0"/>
              <w:rPr>
                <w:szCs w:val="22"/>
              </w:rPr>
            </w:pPr>
            <w:r>
              <w:rPr>
                <w:szCs w:val="22"/>
              </w:rPr>
              <w:t>五、保障措施</w:t>
            </w:r>
          </w:p>
        </w:tc>
        <w:tc>
          <w:tcPr>
            <w:tcW w:w="1418" w:type="dxa"/>
            <w:vAlign w:val="center"/>
          </w:tcPr>
          <w:p w:rsidR="00363CC0" w:rsidRDefault="00F24112">
            <w:pPr>
              <w:adjustRightInd w:val="0"/>
              <w:snapToGrid w:val="0"/>
              <w:jc w:val="center"/>
              <w:rPr>
                <w:szCs w:val="22"/>
              </w:rPr>
            </w:pPr>
            <w:r>
              <w:rPr>
                <w:szCs w:val="22"/>
              </w:rPr>
              <w:t>信息管理</w:t>
            </w:r>
          </w:p>
        </w:tc>
        <w:tc>
          <w:tcPr>
            <w:tcW w:w="6825" w:type="dxa"/>
            <w:vAlign w:val="center"/>
          </w:tcPr>
          <w:p w:rsidR="00363CC0" w:rsidRDefault="00F24112">
            <w:pPr>
              <w:adjustRightInd w:val="0"/>
              <w:snapToGrid w:val="0"/>
              <w:rPr>
                <w:szCs w:val="22"/>
              </w:rPr>
            </w:pPr>
            <w:r>
              <w:rPr>
                <w:szCs w:val="22"/>
              </w:rPr>
              <w:t>采用信息化管理手段</w:t>
            </w:r>
            <w:r>
              <w:rPr>
                <w:szCs w:val="22"/>
              </w:rPr>
              <w:t>,</w:t>
            </w:r>
            <w:r>
              <w:rPr>
                <w:szCs w:val="22"/>
              </w:rPr>
              <w:t>实现对事故隐患排查治理记录统计、过程跟踪、逾期报警、信息上报的信息化管理。</w:t>
            </w:r>
          </w:p>
        </w:tc>
      </w:tr>
      <w:tr w:rsidR="00363CC0">
        <w:trPr>
          <w:trHeight w:val="510"/>
        </w:trPr>
        <w:tc>
          <w:tcPr>
            <w:tcW w:w="817" w:type="dxa"/>
            <w:vMerge/>
            <w:vAlign w:val="center"/>
          </w:tcPr>
          <w:p w:rsidR="00363CC0" w:rsidRDefault="00363CC0">
            <w:pPr>
              <w:adjustRightInd w:val="0"/>
              <w:snapToGrid w:val="0"/>
              <w:rPr>
                <w:szCs w:val="22"/>
              </w:rPr>
            </w:pPr>
          </w:p>
        </w:tc>
        <w:tc>
          <w:tcPr>
            <w:tcW w:w="1418" w:type="dxa"/>
            <w:vAlign w:val="center"/>
          </w:tcPr>
          <w:p w:rsidR="00363CC0" w:rsidRDefault="00F24112">
            <w:pPr>
              <w:adjustRightInd w:val="0"/>
              <w:snapToGrid w:val="0"/>
              <w:jc w:val="center"/>
              <w:rPr>
                <w:szCs w:val="22"/>
              </w:rPr>
            </w:pPr>
            <w:r>
              <w:rPr>
                <w:szCs w:val="22"/>
              </w:rPr>
              <w:t>改进完善</w:t>
            </w:r>
          </w:p>
        </w:tc>
        <w:tc>
          <w:tcPr>
            <w:tcW w:w="6825" w:type="dxa"/>
            <w:vAlign w:val="center"/>
          </w:tcPr>
          <w:p w:rsidR="00363CC0" w:rsidRDefault="00F24112">
            <w:pPr>
              <w:adjustRightInd w:val="0"/>
              <w:snapToGrid w:val="0"/>
              <w:rPr>
                <w:szCs w:val="22"/>
              </w:rPr>
            </w:pPr>
            <w:r>
              <w:rPr>
                <w:szCs w:val="22"/>
              </w:rPr>
              <w:t>主要负责人每月组织召开事故隐患治理会议，对事故隐患的治理情况进行通报，分析重大安全风险管控情况、事故隐患产生的原因，编制月度统计分析报告，布置月度安全风险管控重点，提出预防事故隐患的措施。</w:t>
            </w:r>
          </w:p>
        </w:tc>
      </w:tr>
      <w:tr w:rsidR="00363CC0">
        <w:trPr>
          <w:trHeight w:val="465"/>
        </w:trPr>
        <w:tc>
          <w:tcPr>
            <w:tcW w:w="817" w:type="dxa"/>
            <w:vMerge/>
            <w:vAlign w:val="center"/>
          </w:tcPr>
          <w:p w:rsidR="00363CC0" w:rsidRDefault="00363CC0">
            <w:pPr>
              <w:adjustRightInd w:val="0"/>
              <w:snapToGrid w:val="0"/>
              <w:rPr>
                <w:szCs w:val="22"/>
              </w:rPr>
            </w:pPr>
          </w:p>
        </w:tc>
        <w:tc>
          <w:tcPr>
            <w:tcW w:w="1418" w:type="dxa"/>
            <w:vAlign w:val="center"/>
          </w:tcPr>
          <w:p w:rsidR="00363CC0" w:rsidRDefault="00F24112">
            <w:pPr>
              <w:adjustRightInd w:val="0"/>
              <w:snapToGrid w:val="0"/>
              <w:jc w:val="center"/>
              <w:rPr>
                <w:szCs w:val="22"/>
              </w:rPr>
            </w:pPr>
            <w:r>
              <w:rPr>
                <w:szCs w:val="22"/>
              </w:rPr>
              <w:t>资金保障</w:t>
            </w:r>
          </w:p>
        </w:tc>
        <w:tc>
          <w:tcPr>
            <w:tcW w:w="6825" w:type="dxa"/>
            <w:vAlign w:val="center"/>
          </w:tcPr>
          <w:p w:rsidR="00363CC0" w:rsidRDefault="00F24112">
            <w:pPr>
              <w:adjustRightInd w:val="0"/>
              <w:snapToGrid w:val="0"/>
              <w:rPr>
                <w:szCs w:val="22"/>
              </w:rPr>
            </w:pPr>
            <w:r>
              <w:rPr>
                <w:szCs w:val="22"/>
              </w:rPr>
              <w:t>事故隐患排查治理工作资金有保障</w:t>
            </w:r>
          </w:p>
        </w:tc>
      </w:tr>
      <w:tr w:rsidR="00363CC0">
        <w:trPr>
          <w:trHeight w:val="945"/>
        </w:trPr>
        <w:tc>
          <w:tcPr>
            <w:tcW w:w="817" w:type="dxa"/>
            <w:vMerge/>
            <w:vAlign w:val="center"/>
          </w:tcPr>
          <w:p w:rsidR="00363CC0" w:rsidRDefault="00363CC0">
            <w:pPr>
              <w:adjustRightInd w:val="0"/>
              <w:snapToGrid w:val="0"/>
              <w:rPr>
                <w:szCs w:val="22"/>
              </w:rPr>
            </w:pPr>
          </w:p>
        </w:tc>
        <w:tc>
          <w:tcPr>
            <w:tcW w:w="1418" w:type="dxa"/>
            <w:vAlign w:val="center"/>
          </w:tcPr>
          <w:p w:rsidR="00363CC0" w:rsidRDefault="00F24112">
            <w:pPr>
              <w:adjustRightInd w:val="0"/>
              <w:snapToGrid w:val="0"/>
              <w:jc w:val="center"/>
              <w:rPr>
                <w:szCs w:val="22"/>
              </w:rPr>
            </w:pPr>
            <w:r>
              <w:rPr>
                <w:szCs w:val="22"/>
              </w:rPr>
              <w:t>教育培训</w:t>
            </w:r>
          </w:p>
        </w:tc>
        <w:tc>
          <w:tcPr>
            <w:tcW w:w="6825" w:type="dxa"/>
            <w:vAlign w:val="center"/>
          </w:tcPr>
          <w:p w:rsidR="00363CC0" w:rsidRDefault="00F24112">
            <w:pPr>
              <w:adjustRightInd w:val="0"/>
              <w:snapToGrid w:val="0"/>
              <w:rPr>
                <w:szCs w:val="22"/>
              </w:rPr>
            </w:pPr>
            <w:r>
              <w:rPr>
                <w:szCs w:val="22"/>
              </w:rPr>
              <w:t xml:space="preserve">1. </w:t>
            </w:r>
            <w:r>
              <w:rPr>
                <w:szCs w:val="22"/>
              </w:rPr>
              <w:t>每年至少组织主要负责人、分管负责人、副总工程师及安全、采掘、机电运输、通风、地测防治水、尾矿库等部门相关人员和工区管理人员进行</w:t>
            </w:r>
            <w:r>
              <w:rPr>
                <w:szCs w:val="22"/>
              </w:rPr>
              <w:t>1</w:t>
            </w:r>
            <w:r>
              <w:rPr>
                <w:szCs w:val="22"/>
              </w:rPr>
              <w:t>次事故隐患排查治理专项培训。</w:t>
            </w:r>
          </w:p>
          <w:p w:rsidR="00363CC0" w:rsidRDefault="00F24112">
            <w:pPr>
              <w:adjustRightInd w:val="0"/>
              <w:snapToGrid w:val="0"/>
              <w:rPr>
                <w:szCs w:val="22"/>
              </w:rPr>
            </w:pPr>
            <w:r>
              <w:rPr>
                <w:szCs w:val="22"/>
              </w:rPr>
              <w:t>2.</w:t>
            </w:r>
            <w:r>
              <w:rPr>
                <w:szCs w:val="22"/>
              </w:rPr>
              <w:t>每年至少对从业岗位人员进行</w:t>
            </w:r>
            <w:r>
              <w:rPr>
                <w:szCs w:val="22"/>
              </w:rPr>
              <w:t>1</w:t>
            </w:r>
            <w:r>
              <w:rPr>
                <w:szCs w:val="22"/>
              </w:rPr>
              <w:t>次事故隐患排查治理基本技能培训，包括事故隐患排查方法、治理流程和要求，所在工区作业区域常见事故隐患识别。</w:t>
            </w:r>
          </w:p>
        </w:tc>
      </w:tr>
      <w:tr w:rsidR="00363CC0">
        <w:trPr>
          <w:trHeight w:val="797"/>
        </w:trPr>
        <w:tc>
          <w:tcPr>
            <w:tcW w:w="817" w:type="dxa"/>
            <w:vMerge/>
            <w:vAlign w:val="center"/>
          </w:tcPr>
          <w:p w:rsidR="00363CC0" w:rsidRDefault="00363CC0">
            <w:pPr>
              <w:adjustRightInd w:val="0"/>
              <w:snapToGrid w:val="0"/>
              <w:rPr>
                <w:szCs w:val="22"/>
              </w:rPr>
            </w:pPr>
          </w:p>
        </w:tc>
        <w:tc>
          <w:tcPr>
            <w:tcW w:w="1418" w:type="dxa"/>
            <w:vAlign w:val="center"/>
          </w:tcPr>
          <w:p w:rsidR="00363CC0" w:rsidRDefault="00F24112">
            <w:pPr>
              <w:adjustRightInd w:val="0"/>
              <w:snapToGrid w:val="0"/>
              <w:jc w:val="center"/>
              <w:rPr>
                <w:szCs w:val="22"/>
              </w:rPr>
            </w:pPr>
            <w:r>
              <w:rPr>
                <w:szCs w:val="22"/>
              </w:rPr>
              <w:t>考核管理</w:t>
            </w:r>
          </w:p>
        </w:tc>
        <w:tc>
          <w:tcPr>
            <w:tcW w:w="6825" w:type="dxa"/>
            <w:vAlign w:val="center"/>
          </w:tcPr>
          <w:p w:rsidR="00363CC0" w:rsidRDefault="00F24112">
            <w:pPr>
              <w:adjustRightInd w:val="0"/>
              <w:snapToGrid w:val="0"/>
              <w:rPr>
                <w:szCs w:val="22"/>
              </w:rPr>
            </w:pPr>
            <w:r>
              <w:rPr>
                <w:szCs w:val="22"/>
              </w:rPr>
              <w:t>1.</w:t>
            </w:r>
            <w:r>
              <w:rPr>
                <w:szCs w:val="22"/>
              </w:rPr>
              <w:t>按本企业制度规定对事故隐患排查治理工作实施情况开展检查；</w:t>
            </w:r>
          </w:p>
          <w:p w:rsidR="00363CC0" w:rsidRDefault="00F24112">
            <w:pPr>
              <w:adjustRightInd w:val="0"/>
              <w:snapToGrid w:val="0"/>
              <w:rPr>
                <w:szCs w:val="22"/>
              </w:rPr>
            </w:pPr>
            <w:r>
              <w:rPr>
                <w:szCs w:val="22"/>
              </w:rPr>
              <w:t>2.</w:t>
            </w:r>
            <w:r>
              <w:rPr>
                <w:szCs w:val="22"/>
              </w:rPr>
              <w:t>检查结果纳入工作绩效考核（含对外包队伍的考核）。</w:t>
            </w:r>
          </w:p>
        </w:tc>
      </w:tr>
    </w:tbl>
    <w:p w:rsidR="00363CC0" w:rsidRDefault="00363CC0">
      <w:pPr>
        <w:adjustRightInd w:val="0"/>
        <w:snapToGrid w:val="0"/>
        <w:rPr>
          <w:szCs w:val="22"/>
        </w:rPr>
      </w:pPr>
    </w:p>
    <w:p w:rsidR="00363CC0" w:rsidRDefault="00363CC0">
      <w:pPr>
        <w:adjustRightInd w:val="0"/>
        <w:snapToGrid w:val="0"/>
        <w:rPr>
          <w:szCs w:val="22"/>
        </w:rPr>
      </w:pPr>
    </w:p>
    <w:p w:rsidR="00363CC0" w:rsidRDefault="00363CC0">
      <w:pPr>
        <w:adjustRightInd w:val="0"/>
        <w:snapToGrid w:val="0"/>
        <w:spacing w:line="500" w:lineRule="exact"/>
        <w:textAlignment w:val="baseline"/>
        <w:rPr>
          <w:rFonts w:eastAsia="仿宋_GB2312"/>
          <w:sz w:val="32"/>
          <w:szCs w:val="32"/>
        </w:rPr>
      </w:pPr>
    </w:p>
    <w:p w:rsidR="00363CC0" w:rsidRDefault="00363CC0">
      <w:pPr>
        <w:adjustRightInd w:val="0"/>
        <w:snapToGrid w:val="0"/>
        <w:spacing w:line="540" w:lineRule="exact"/>
        <w:textAlignment w:val="baseline"/>
        <w:rPr>
          <w:sz w:val="32"/>
        </w:rPr>
      </w:pPr>
      <w:bookmarkStart w:id="1" w:name="signend"/>
      <w:bookmarkEnd w:id="1"/>
    </w:p>
    <w:p w:rsidR="00363CC0" w:rsidRDefault="00363CC0"/>
    <w:sectPr w:rsidR="00363CC0">
      <w:footerReference w:type="default" r:id="rId10"/>
      <w:pgSz w:w="11906" w:h="16838"/>
      <w:pgMar w:top="2098" w:right="1474" w:bottom="1984" w:left="1587"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12" w:rsidRDefault="00F24112">
      <w:r>
        <w:separator/>
      </w:r>
    </w:p>
  </w:endnote>
  <w:endnote w:type="continuationSeparator" w:id="0">
    <w:p w:rsidR="00F24112" w:rsidRDefault="00F2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C0" w:rsidRDefault="00F24112">
    <w:pPr>
      <w:pStyle w:val="a3"/>
      <w:framePr w:wrap="around" w:vAnchor="text" w:hAnchor="margin" w:xAlign="center" w:y="1"/>
      <w:rPr>
        <w:rStyle w:val="a4"/>
        <w:rFonts w:ascii="宋体"/>
        <w:sz w:val="28"/>
        <w:szCs w:val="28"/>
      </w:rPr>
    </w:pP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sz w:val="28"/>
        <w:szCs w:val="28"/>
      </w:rPr>
      <w:t>- 2 -</w:t>
    </w:r>
    <w:r>
      <w:rPr>
        <w:rStyle w:val="a4"/>
        <w:rFonts w:ascii="宋体" w:hAnsi="宋体"/>
        <w:sz w:val="28"/>
        <w:szCs w:val="28"/>
      </w:rPr>
      <w:fldChar w:fldCharType="end"/>
    </w:r>
  </w:p>
  <w:p w:rsidR="00363CC0" w:rsidRDefault="00363C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C0" w:rsidRDefault="00F24112">
    <w:pPr>
      <w:pStyle w:val="a3"/>
      <w:framePr w:wrap="around" w:vAnchor="text" w:hAnchor="margin" w:xAlign="center" w:y="1"/>
      <w:rPr>
        <w:rStyle w:val="a4"/>
        <w:rFonts w:ascii="宋体"/>
        <w:sz w:val="28"/>
        <w:szCs w:val="28"/>
      </w:rPr>
    </w:pP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0E6E94">
      <w:rPr>
        <w:rStyle w:val="a4"/>
        <w:rFonts w:ascii="宋体" w:hAnsi="宋体"/>
        <w:noProof/>
        <w:sz w:val="28"/>
        <w:szCs w:val="28"/>
      </w:rPr>
      <w:t>- 18 -</w:t>
    </w:r>
    <w:r>
      <w:rPr>
        <w:rStyle w:val="a4"/>
        <w:rFonts w:ascii="宋体" w:hAnsi="宋体"/>
        <w:sz w:val="28"/>
        <w:szCs w:val="28"/>
      </w:rPr>
      <w:fldChar w:fldCharType="end"/>
    </w:r>
  </w:p>
  <w:p w:rsidR="00363CC0" w:rsidRDefault="00363CC0">
    <w:pPr>
      <w:pStyle w:val="a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C0" w:rsidRDefault="00F24112">
    <w:pPr>
      <w:pStyle w:val="a3"/>
      <w:framePr w:wrap="around" w:vAnchor="text" w:hAnchor="margin" w:xAlign="center" w:y="1"/>
      <w:rPr>
        <w:rStyle w:val="a4"/>
        <w:rFonts w:ascii="宋体"/>
        <w:sz w:val="28"/>
        <w:szCs w:val="28"/>
      </w:rPr>
    </w:pP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0E6E94">
      <w:rPr>
        <w:rStyle w:val="a4"/>
        <w:rFonts w:ascii="宋体" w:hAnsi="宋体"/>
        <w:noProof/>
        <w:sz w:val="28"/>
        <w:szCs w:val="28"/>
      </w:rPr>
      <w:t>- 22 -</w:t>
    </w:r>
    <w:r>
      <w:rPr>
        <w:rStyle w:val="a4"/>
        <w:rFonts w:ascii="宋体" w:hAnsi="宋体"/>
        <w:sz w:val="28"/>
        <w:szCs w:val="28"/>
      </w:rPr>
      <w:fldChar w:fldCharType="end"/>
    </w:r>
  </w:p>
  <w:p w:rsidR="00363CC0" w:rsidRDefault="00363CC0">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12" w:rsidRDefault="00F24112">
      <w:r>
        <w:separator/>
      </w:r>
    </w:p>
  </w:footnote>
  <w:footnote w:type="continuationSeparator" w:id="0">
    <w:p w:rsidR="00F24112" w:rsidRDefault="00F24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C0"/>
    <w:rsid w:val="000E6E94"/>
    <w:rsid w:val="00363CC0"/>
    <w:rsid w:val="00F24112"/>
    <w:rsid w:val="11D347D6"/>
    <w:rsid w:val="624B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page number"/>
    <w:uiPriority w:val="99"/>
    <w:qFormat/>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page number"/>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5556</Words>
  <Characters>6002</Characters>
  <Application>Microsoft Office Word</Application>
  <DocSecurity>0</DocSecurity>
  <Lines>375</Lines>
  <Paragraphs>550</Paragraphs>
  <ScaleCrop>false</ScaleCrop>
  <Company>微软中国</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范警元 192.168.200.33</cp:lastModifiedBy>
  <cp:revision>3</cp:revision>
  <dcterms:created xsi:type="dcterms:W3CDTF">2021-07-28T04:59:00Z</dcterms:created>
  <dcterms:modified xsi:type="dcterms:W3CDTF">2021-08-18T08:24:00Z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45BB216F721843AAA6D528F7227B0150</vt:lpwstr>
  </property>
</Properties>
</file>