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92" w:rsidRDefault="00BD2A92" w:rsidP="00BD2A92">
      <w:pPr>
        <w:kinsoku w:val="0"/>
        <w:overflowPunct w:val="0"/>
        <w:autoSpaceDE w:val="0"/>
        <w:autoSpaceDN w:val="0"/>
        <w:adjustRightInd w:val="0"/>
        <w:snapToGrid w:val="0"/>
        <w:spacing w:line="560" w:lineRule="exact"/>
        <w:jc w:val="left"/>
        <w:rPr>
          <w:rFonts w:eastAsia="黑体" w:hint="eastAsia"/>
          <w:color w:val="000000"/>
          <w:sz w:val="44"/>
          <w:szCs w:val="44"/>
        </w:rPr>
      </w:pPr>
      <w:r>
        <w:rPr>
          <w:rFonts w:ascii="黑体" w:eastAsia="黑体" w:hAnsi="黑体" w:cs="黑体" w:hint="eastAsia"/>
          <w:color w:val="000000"/>
          <w:sz w:val="32"/>
          <w:szCs w:val="32"/>
        </w:rPr>
        <w:t>附件2</w:t>
      </w:r>
    </w:p>
    <w:p w:rsidR="00BD2A92" w:rsidRDefault="00BD2A92" w:rsidP="00BD2A92">
      <w:pPr>
        <w:kinsoku w:val="0"/>
        <w:overflowPunct w:val="0"/>
        <w:autoSpaceDE w:val="0"/>
        <w:autoSpaceDN w:val="0"/>
        <w:adjustRightInd w:val="0"/>
        <w:snapToGrid w:val="0"/>
        <w:spacing w:line="560" w:lineRule="exact"/>
        <w:jc w:val="center"/>
        <w:rPr>
          <w:rFonts w:eastAsia="方正小标宋简体"/>
          <w:color w:val="000000"/>
          <w:sz w:val="44"/>
          <w:szCs w:val="44"/>
        </w:rPr>
      </w:pPr>
      <w:bookmarkStart w:id="0" w:name="_GoBack"/>
      <w:r>
        <w:rPr>
          <w:rFonts w:eastAsia="方正小标宋简体"/>
          <w:color w:val="000000"/>
          <w:sz w:val="44"/>
          <w:szCs w:val="44"/>
        </w:rPr>
        <w:t>湖南省应急管理厅</w:t>
      </w:r>
      <w:r>
        <w:rPr>
          <w:rFonts w:eastAsia="方正小标宋简体" w:hint="eastAsia"/>
          <w:color w:val="000000"/>
          <w:sz w:val="44"/>
          <w:szCs w:val="44"/>
        </w:rPr>
        <w:t>2023</w:t>
      </w:r>
      <w:r>
        <w:rPr>
          <w:rFonts w:eastAsia="方正小标宋简体" w:hint="eastAsia"/>
          <w:color w:val="000000"/>
          <w:sz w:val="44"/>
          <w:szCs w:val="44"/>
        </w:rPr>
        <w:t>年“谁执法谁普法”普法重点</w:t>
      </w:r>
      <w:r>
        <w:rPr>
          <w:rFonts w:eastAsia="方正小标宋简体"/>
          <w:color w:val="000000"/>
          <w:sz w:val="44"/>
          <w:szCs w:val="44"/>
        </w:rPr>
        <w:t>任务清单</w:t>
      </w:r>
      <w:bookmarkEnd w:id="0"/>
    </w:p>
    <w:p w:rsidR="00BD2A92" w:rsidRDefault="00BD2A92" w:rsidP="00BD2A92">
      <w:pPr>
        <w:kinsoku w:val="0"/>
        <w:overflowPunct w:val="0"/>
        <w:autoSpaceDE w:val="0"/>
        <w:autoSpaceDN w:val="0"/>
        <w:adjustRightInd w:val="0"/>
        <w:snapToGrid w:val="0"/>
        <w:spacing w:line="560" w:lineRule="exact"/>
        <w:jc w:val="center"/>
        <w:rPr>
          <w:rFonts w:eastAsia="方正小标宋_GBK"/>
          <w:color w:val="000000"/>
          <w:sz w:val="44"/>
          <w:szCs w:val="44"/>
        </w:rPr>
      </w:pPr>
    </w:p>
    <w:tbl>
      <w:tblPr>
        <w:tblW w:w="13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885"/>
        <w:gridCol w:w="9510"/>
        <w:gridCol w:w="990"/>
      </w:tblGrid>
      <w:tr w:rsidR="00BD2A92" w:rsidTr="00101B9B">
        <w:trPr>
          <w:trHeight w:val="730"/>
        </w:trPr>
        <w:tc>
          <w:tcPr>
            <w:tcW w:w="1697" w:type="dxa"/>
            <w:vAlign w:val="center"/>
          </w:tcPr>
          <w:p w:rsidR="00BD2A92" w:rsidRDefault="00BD2A92" w:rsidP="00101B9B">
            <w:pPr>
              <w:kinsoku w:val="0"/>
              <w:overflowPunct w:val="0"/>
              <w:autoSpaceDE w:val="0"/>
              <w:autoSpaceDN w:val="0"/>
              <w:adjustRightInd w:val="0"/>
              <w:snapToGrid w:val="0"/>
              <w:spacing w:line="440" w:lineRule="exact"/>
              <w:jc w:val="center"/>
              <w:rPr>
                <w:rFonts w:eastAsia="黑体" w:hint="eastAsia"/>
                <w:color w:val="000000"/>
                <w:sz w:val="30"/>
                <w:szCs w:val="30"/>
              </w:rPr>
            </w:pPr>
            <w:r>
              <w:rPr>
                <w:rFonts w:eastAsia="黑体" w:hint="eastAsia"/>
                <w:color w:val="000000"/>
                <w:sz w:val="30"/>
                <w:szCs w:val="30"/>
              </w:rPr>
              <w:t>项目指标</w:t>
            </w: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黑体"/>
                <w:color w:val="000000"/>
                <w:sz w:val="30"/>
                <w:szCs w:val="30"/>
              </w:rPr>
            </w:pPr>
            <w:r>
              <w:rPr>
                <w:rFonts w:eastAsia="黑体"/>
                <w:color w:val="000000"/>
                <w:sz w:val="30"/>
                <w:szCs w:val="30"/>
              </w:rPr>
              <w:t>序号</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黑体" w:hint="eastAsia"/>
                <w:color w:val="000000"/>
                <w:sz w:val="30"/>
                <w:szCs w:val="30"/>
              </w:rPr>
            </w:pPr>
            <w:r>
              <w:rPr>
                <w:rFonts w:eastAsia="黑体" w:hint="eastAsia"/>
                <w:color w:val="000000"/>
                <w:sz w:val="30"/>
                <w:szCs w:val="30"/>
              </w:rPr>
              <w:t>普法重点任务</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黑体" w:hint="eastAsia"/>
                <w:color w:val="000000"/>
                <w:sz w:val="30"/>
                <w:szCs w:val="30"/>
              </w:rPr>
            </w:pPr>
            <w:r>
              <w:rPr>
                <w:rFonts w:eastAsia="黑体" w:hint="eastAsia"/>
                <w:color w:val="000000"/>
                <w:sz w:val="30"/>
                <w:szCs w:val="30"/>
              </w:rPr>
              <w:t>备注</w:t>
            </w:r>
          </w:p>
        </w:tc>
      </w:tr>
      <w:tr w:rsidR="00BD2A92" w:rsidTr="00101B9B">
        <w:trPr>
          <w:trHeight w:val="792"/>
        </w:trPr>
        <w:tc>
          <w:tcPr>
            <w:tcW w:w="1697" w:type="dxa"/>
            <w:vMerge w:val="restart"/>
            <w:vAlign w:val="center"/>
          </w:tcPr>
          <w:p w:rsidR="00BD2A92" w:rsidRDefault="00BD2A92" w:rsidP="00101B9B">
            <w:pPr>
              <w:adjustRightInd w:val="0"/>
              <w:snapToGrid w:val="0"/>
              <w:spacing w:line="440" w:lineRule="exact"/>
              <w:jc w:val="center"/>
              <w:rPr>
                <w:rFonts w:eastAsia="仿宋_GB2312" w:hint="eastAsia"/>
                <w:color w:val="000000"/>
                <w:sz w:val="28"/>
                <w:szCs w:val="28"/>
              </w:rPr>
            </w:pPr>
            <w:r>
              <w:rPr>
                <w:rFonts w:eastAsia="仿宋_GB2312" w:hint="eastAsia"/>
                <w:color w:val="000000"/>
                <w:sz w:val="28"/>
                <w:szCs w:val="28"/>
              </w:rPr>
              <w:t>共性指标</w:t>
            </w:r>
          </w:p>
        </w:tc>
        <w:tc>
          <w:tcPr>
            <w:tcW w:w="885" w:type="dxa"/>
            <w:vAlign w:val="center"/>
          </w:tcPr>
          <w:p w:rsidR="00BD2A92" w:rsidRDefault="00BD2A92" w:rsidP="00101B9B">
            <w:pPr>
              <w:adjustRightInd w:val="0"/>
              <w:snapToGrid w:val="0"/>
              <w:spacing w:line="440" w:lineRule="exact"/>
              <w:jc w:val="center"/>
              <w:rPr>
                <w:rFonts w:eastAsia="仿宋_GB2312"/>
                <w:color w:val="000000"/>
                <w:sz w:val="28"/>
                <w:szCs w:val="28"/>
              </w:rPr>
            </w:pPr>
            <w:r>
              <w:rPr>
                <w:rFonts w:eastAsia="仿宋_GB2312"/>
                <w:color w:val="000000"/>
                <w:sz w:val="28"/>
                <w:szCs w:val="28"/>
              </w:rPr>
              <w:t>1</w:t>
            </w:r>
          </w:p>
        </w:tc>
        <w:tc>
          <w:tcPr>
            <w:tcW w:w="9510" w:type="dxa"/>
            <w:vAlign w:val="center"/>
          </w:tcPr>
          <w:p w:rsidR="00BD2A92" w:rsidRDefault="00BD2A92" w:rsidP="00101B9B">
            <w:pPr>
              <w:adjustRightInd w:val="0"/>
              <w:snapToGrid w:val="0"/>
              <w:spacing w:line="440" w:lineRule="exact"/>
              <w:jc w:val="left"/>
              <w:rPr>
                <w:rFonts w:eastAsia="仿宋_GB2312"/>
                <w:color w:val="000000"/>
                <w:sz w:val="28"/>
                <w:szCs w:val="28"/>
              </w:rPr>
            </w:pPr>
            <w:r>
              <w:rPr>
                <w:rFonts w:eastAsia="仿宋_GB2312" w:hint="eastAsia"/>
                <w:color w:val="000000"/>
                <w:sz w:val="28"/>
                <w:szCs w:val="28"/>
              </w:rPr>
              <w:t>深入学习宣传党的二十大精神、习近平法治思想，将相关内容纳入年内党委（党组）中心组集中学法内容和本单位、本系统法治培训内容，开展宣讲不少于</w:t>
            </w:r>
            <w:r>
              <w:rPr>
                <w:rFonts w:eastAsia="仿宋_GB2312" w:hint="eastAsia"/>
                <w:color w:val="000000"/>
                <w:sz w:val="28"/>
                <w:szCs w:val="28"/>
              </w:rPr>
              <w:t>1</w:t>
            </w:r>
            <w:r>
              <w:rPr>
                <w:rFonts w:eastAsia="仿宋_GB2312" w:hint="eastAsia"/>
                <w:color w:val="000000"/>
                <w:sz w:val="28"/>
                <w:szCs w:val="28"/>
              </w:rPr>
              <w:t>次。</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1000"/>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r>
              <w:rPr>
                <w:rFonts w:eastAsia="仿宋_GB2312"/>
                <w:color w:val="000000"/>
                <w:sz w:val="28"/>
                <w:szCs w:val="28"/>
              </w:rPr>
              <w:t>2</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r>
              <w:rPr>
                <w:rFonts w:eastAsia="仿宋_GB2312" w:hint="eastAsia"/>
                <w:color w:val="000000"/>
                <w:sz w:val="28"/>
                <w:szCs w:val="28"/>
              </w:rPr>
              <w:t>突出宣传宪法，开展宪法进机关活动，组织系统干部开展日常宪法学习宣传，集中组织好本系统“宪法宣传周”活动。</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555"/>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r>
              <w:rPr>
                <w:rFonts w:eastAsia="仿宋_GB2312"/>
                <w:color w:val="000000"/>
                <w:sz w:val="28"/>
                <w:szCs w:val="28"/>
              </w:rPr>
              <w:t>3</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color w:val="000000"/>
                <w:sz w:val="28"/>
                <w:szCs w:val="28"/>
              </w:rPr>
            </w:pPr>
            <w:r>
              <w:rPr>
                <w:rFonts w:eastAsia="仿宋_GB2312" w:hint="eastAsia"/>
                <w:color w:val="000000"/>
                <w:sz w:val="28"/>
                <w:szCs w:val="28"/>
              </w:rPr>
              <w:t>落实党委（党组）理论学习中心组学法制度，每年组织学法不少于</w:t>
            </w:r>
            <w:r>
              <w:rPr>
                <w:rFonts w:eastAsia="仿宋_GB2312" w:hint="eastAsia"/>
                <w:color w:val="000000"/>
                <w:sz w:val="28"/>
                <w:szCs w:val="28"/>
              </w:rPr>
              <w:t>2</w:t>
            </w:r>
            <w:r>
              <w:rPr>
                <w:rFonts w:eastAsia="仿宋_GB2312" w:hint="eastAsia"/>
                <w:color w:val="000000"/>
                <w:sz w:val="28"/>
                <w:szCs w:val="28"/>
              </w:rPr>
              <w:t>次</w:t>
            </w:r>
            <w:r>
              <w:rPr>
                <w:rFonts w:eastAsia="仿宋_GB2312"/>
                <w:color w:val="000000"/>
                <w:sz w:val="28"/>
                <w:szCs w:val="28"/>
              </w:rPr>
              <w:t>。</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600"/>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r>
              <w:rPr>
                <w:rFonts w:eastAsia="仿宋_GB2312"/>
                <w:color w:val="000000"/>
                <w:sz w:val="28"/>
                <w:szCs w:val="28"/>
              </w:rPr>
              <w:t>4</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color w:val="000000"/>
                <w:sz w:val="28"/>
                <w:szCs w:val="28"/>
              </w:rPr>
            </w:pPr>
            <w:r>
              <w:rPr>
                <w:rFonts w:eastAsia="仿宋_GB2312" w:hint="eastAsia"/>
                <w:color w:val="000000"/>
                <w:sz w:val="28"/>
                <w:szCs w:val="28"/>
              </w:rPr>
              <w:t>落实领导干部</w:t>
            </w:r>
            <w:proofErr w:type="gramStart"/>
            <w:r>
              <w:rPr>
                <w:rFonts w:eastAsia="仿宋_GB2312" w:hint="eastAsia"/>
                <w:color w:val="000000"/>
                <w:sz w:val="28"/>
                <w:szCs w:val="28"/>
              </w:rPr>
              <w:t>年终述法制度</w:t>
            </w:r>
            <w:proofErr w:type="gramEnd"/>
            <w:r>
              <w:rPr>
                <w:rFonts w:eastAsia="仿宋_GB2312" w:hint="eastAsia"/>
                <w:color w:val="000000"/>
                <w:sz w:val="28"/>
                <w:szCs w:val="28"/>
              </w:rPr>
              <w:t>，在年度述职中</w:t>
            </w:r>
            <w:proofErr w:type="gramStart"/>
            <w:r>
              <w:rPr>
                <w:rFonts w:eastAsia="仿宋_GB2312" w:hint="eastAsia"/>
                <w:color w:val="000000"/>
                <w:sz w:val="28"/>
                <w:szCs w:val="28"/>
              </w:rPr>
              <w:t>加入述法内容</w:t>
            </w:r>
            <w:proofErr w:type="gramEnd"/>
            <w:r>
              <w:rPr>
                <w:rFonts w:eastAsia="仿宋_GB2312"/>
                <w:color w:val="000000"/>
                <w:sz w:val="28"/>
                <w:szCs w:val="28"/>
              </w:rPr>
              <w:t>。</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874"/>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r>
              <w:rPr>
                <w:rFonts w:eastAsia="仿宋_GB2312"/>
                <w:color w:val="000000"/>
                <w:sz w:val="28"/>
                <w:szCs w:val="28"/>
              </w:rPr>
              <w:t>5</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color w:val="000000"/>
                <w:sz w:val="28"/>
                <w:szCs w:val="28"/>
              </w:rPr>
            </w:pPr>
            <w:r>
              <w:rPr>
                <w:rFonts w:eastAsia="仿宋_GB2312" w:hint="eastAsia"/>
                <w:color w:val="000000"/>
                <w:sz w:val="28"/>
                <w:szCs w:val="28"/>
              </w:rPr>
              <w:t>健全完善国家工作人员日常学法制度、法治培训制度、学法用法考核制度，每年至少举办一期法治专题培训班。组织做好本单位工作人员网上学法，年内课时达标率</w:t>
            </w:r>
            <w:r>
              <w:rPr>
                <w:rFonts w:eastAsia="仿宋_GB2312" w:hint="eastAsia"/>
                <w:color w:val="000000"/>
                <w:sz w:val="28"/>
                <w:szCs w:val="28"/>
              </w:rPr>
              <w:t>100%</w:t>
            </w:r>
            <w:r>
              <w:rPr>
                <w:rFonts w:eastAsia="仿宋_GB2312" w:hint="eastAsia"/>
                <w:color w:val="000000"/>
                <w:sz w:val="28"/>
                <w:szCs w:val="28"/>
              </w:rPr>
              <w:t>，应考人员参考率</w:t>
            </w:r>
            <w:r>
              <w:rPr>
                <w:rFonts w:eastAsia="仿宋_GB2312" w:hint="eastAsia"/>
                <w:color w:val="000000"/>
                <w:sz w:val="28"/>
                <w:szCs w:val="28"/>
              </w:rPr>
              <w:t>100%</w:t>
            </w:r>
            <w:r>
              <w:rPr>
                <w:rFonts w:eastAsia="仿宋_GB2312" w:hint="eastAsia"/>
                <w:color w:val="000000"/>
                <w:sz w:val="28"/>
                <w:szCs w:val="28"/>
              </w:rPr>
              <w:t>，合格率</w:t>
            </w:r>
            <w:r>
              <w:rPr>
                <w:rFonts w:eastAsia="仿宋_GB2312" w:hint="eastAsia"/>
                <w:color w:val="000000"/>
                <w:sz w:val="28"/>
                <w:szCs w:val="28"/>
              </w:rPr>
              <w:t>98%</w:t>
            </w:r>
            <w:r>
              <w:rPr>
                <w:rFonts w:eastAsia="仿宋_GB2312" w:hint="eastAsia"/>
                <w:color w:val="000000"/>
                <w:sz w:val="28"/>
                <w:szCs w:val="28"/>
              </w:rPr>
              <w:t>。按规定及时编辑、更新本系统国家工作人员年度学法相关专业法律法规学习读本和考试题库</w:t>
            </w:r>
            <w:r>
              <w:rPr>
                <w:rFonts w:eastAsia="仿宋_GB2312"/>
                <w:color w:val="000000"/>
                <w:sz w:val="28"/>
                <w:szCs w:val="28"/>
              </w:rPr>
              <w:t>。</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874"/>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r>
              <w:rPr>
                <w:rFonts w:eastAsia="仿宋_GB2312"/>
                <w:color w:val="000000"/>
                <w:sz w:val="28"/>
                <w:szCs w:val="28"/>
              </w:rPr>
              <w:t>6</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color w:val="000000"/>
                <w:sz w:val="28"/>
                <w:szCs w:val="28"/>
              </w:rPr>
            </w:pPr>
            <w:r>
              <w:rPr>
                <w:rFonts w:eastAsia="仿宋_GB2312" w:hint="eastAsia"/>
                <w:color w:val="000000"/>
                <w:sz w:val="28"/>
                <w:szCs w:val="28"/>
              </w:rPr>
              <w:t>落实国家工作人员旁听庭审制度，组织网上集中观看或是现场集中旁听庭审，年内不少于</w:t>
            </w:r>
            <w:r>
              <w:rPr>
                <w:rFonts w:eastAsia="仿宋_GB2312" w:hint="eastAsia"/>
                <w:color w:val="000000"/>
                <w:sz w:val="28"/>
                <w:szCs w:val="28"/>
              </w:rPr>
              <w:t>1</w:t>
            </w:r>
            <w:r>
              <w:rPr>
                <w:rFonts w:eastAsia="仿宋_GB2312" w:hint="eastAsia"/>
                <w:color w:val="000000"/>
                <w:sz w:val="28"/>
                <w:szCs w:val="28"/>
              </w:rPr>
              <w:t>次。</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29"/>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r>
              <w:rPr>
                <w:rFonts w:eastAsia="仿宋_GB2312"/>
                <w:color w:val="000000"/>
                <w:sz w:val="28"/>
                <w:szCs w:val="28"/>
              </w:rPr>
              <w:t>7</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color w:val="000000"/>
                <w:sz w:val="28"/>
                <w:szCs w:val="28"/>
              </w:rPr>
            </w:pPr>
            <w:r>
              <w:rPr>
                <w:rFonts w:eastAsia="仿宋_GB2312" w:hint="eastAsia"/>
                <w:color w:val="000000"/>
                <w:sz w:val="28"/>
                <w:szCs w:val="28"/>
              </w:rPr>
              <w:t>在部门单位门户网站、自办刊物、官方微博、</w:t>
            </w:r>
            <w:proofErr w:type="gramStart"/>
            <w:r>
              <w:rPr>
                <w:rFonts w:eastAsia="仿宋_GB2312" w:hint="eastAsia"/>
                <w:color w:val="000000"/>
                <w:sz w:val="28"/>
                <w:szCs w:val="28"/>
              </w:rPr>
              <w:t>微信公众号</w:t>
            </w:r>
            <w:proofErr w:type="gramEnd"/>
            <w:r>
              <w:rPr>
                <w:rFonts w:eastAsia="仿宋_GB2312" w:hint="eastAsia"/>
                <w:color w:val="000000"/>
                <w:sz w:val="28"/>
                <w:szCs w:val="28"/>
              </w:rPr>
              <w:t>开辟法治宣传专栏（专题）</w:t>
            </w:r>
            <w:r>
              <w:rPr>
                <w:rFonts w:eastAsia="仿宋_GB2312"/>
                <w:color w:val="000000"/>
                <w:sz w:val="28"/>
                <w:szCs w:val="28"/>
              </w:rPr>
              <w:t>。</w:t>
            </w:r>
            <w:r>
              <w:rPr>
                <w:rFonts w:eastAsia="仿宋_GB2312" w:hint="eastAsia"/>
                <w:color w:val="000000"/>
                <w:sz w:val="28"/>
                <w:szCs w:val="28"/>
              </w:rPr>
              <w:t>设置“以案释法”</w:t>
            </w:r>
            <w:r>
              <w:rPr>
                <w:rFonts w:eastAsia="仿宋_GB2312"/>
                <w:color w:val="000000"/>
                <w:sz w:val="28"/>
                <w:szCs w:val="28"/>
                <w:lang w:val="en"/>
              </w:rPr>
              <w:t>栏目，定期发布普法宣传内容和</w:t>
            </w:r>
            <w:r>
              <w:rPr>
                <w:rFonts w:eastAsia="仿宋_GB2312"/>
                <w:color w:val="000000"/>
                <w:sz w:val="28"/>
                <w:szCs w:val="28"/>
                <w:lang w:val="en"/>
              </w:rPr>
              <w:t>“</w:t>
            </w:r>
            <w:r>
              <w:rPr>
                <w:rFonts w:eastAsia="仿宋_GB2312"/>
                <w:color w:val="000000"/>
                <w:sz w:val="28"/>
                <w:szCs w:val="28"/>
                <w:lang w:val="en"/>
              </w:rPr>
              <w:t>以案释法</w:t>
            </w:r>
            <w:r>
              <w:rPr>
                <w:rFonts w:eastAsia="仿宋_GB2312"/>
                <w:color w:val="000000"/>
                <w:sz w:val="28"/>
                <w:szCs w:val="28"/>
                <w:lang w:val="en"/>
              </w:rPr>
              <w:t>”</w:t>
            </w:r>
            <w:r>
              <w:rPr>
                <w:rFonts w:eastAsia="仿宋_GB2312"/>
                <w:color w:val="000000"/>
                <w:sz w:val="28"/>
                <w:szCs w:val="28"/>
                <w:lang w:val="en"/>
              </w:rPr>
              <w:t>案例</w:t>
            </w:r>
            <w:r>
              <w:rPr>
                <w:rFonts w:eastAsia="仿宋_GB2312" w:hint="eastAsia"/>
                <w:color w:val="000000"/>
                <w:sz w:val="28"/>
                <w:szCs w:val="28"/>
              </w:rPr>
              <w:t>。年内报送不少于</w:t>
            </w:r>
            <w:r>
              <w:rPr>
                <w:rFonts w:eastAsia="仿宋_GB2312" w:hint="eastAsia"/>
                <w:color w:val="000000"/>
                <w:sz w:val="28"/>
                <w:szCs w:val="28"/>
              </w:rPr>
              <w:t>3</w:t>
            </w:r>
            <w:r>
              <w:rPr>
                <w:rFonts w:eastAsia="仿宋_GB2312" w:hint="eastAsia"/>
                <w:color w:val="000000"/>
                <w:sz w:val="28"/>
                <w:szCs w:val="28"/>
              </w:rPr>
              <w:t>个典型案例。</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45"/>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r>
              <w:rPr>
                <w:rFonts w:eastAsia="仿宋_GB2312"/>
                <w:color w:val="000000"/>
                <w:sz w:val="28"/>
                <w:szCs w:val="28"/>
              </w:rPr>
              <w:t>8</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color w:val="000000"/>
                <w:sz w:val="28"/>
                <w:szCs w:val="28"/>
              </w:rPr>
            </w:pPr>
            <w:r>
              <w:rPr>
                <w:rFonts w:eastAsia="仿宋_GB2312"/>
                <w:color w:val="000000"/>
                <w:sz w:val="28"/>
                <w:szCs w:val="28"/>
                <w:lang w:val="en"/>
              </w:rPr>
              <w:t>有乡村振兴联系点的单位，结合乡村振兴联系点打造本单位普法联系点，有针对地宣传普及本</w:t>
            </w:r>
            <w:r>
              <w:rPr>
                <w:rFonts w:eastAsia="仿宋_GB2312" w:hint="eastAsia"/>
                <w:color w:val="000000"/>
                <w:sz w:val="28"/>
                <w:szCs w:val="28"/>
              </w:rPr>
              <w:t>部门与群众生产生活和乡村治理密切相关的法律法规，年内开展送法下乡活动不少于</w:t>
            </w:r>
            <w:r>
              <w:rPr>
                <w:rFonts w:eastAsia="仿宋_GB2312" w:hint="eastAsia"/>
                <w:color w:val="000000"/>
                <w:sz w:val="28"/>
                <w:szCs w:val="28"/>
              </w:rPr>
              <w:t>1</w:t>
            </w:r>
            <w:r>
              <w:rPr>
                <w:rFonts w:eastAsia="仿宋_GB2312" w:hint="eastAsia"/>
                <w:color w:val="000000"/>
                <w:sz w:val="28"/>
                <w:szCs w:val="28"/>
              </w:rPr>
              <w:t>次</w:t>
            </w:r>
            <w:r>
              <w:rPr>
                <w:rFonts w:eastAsia="仿宋_GB2312"/>
                <w:color w:val="000000"/>
                <w:sz w:val="28"/>
                <w:szCs w:val="28"/>
              </w:rPr>
              <w:t>。</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45"/>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r>
              <w:rPr>
                <w:rFonts w:eastAsia="仿宋_GB2312"/>
                <w:color w:val="000000"/>
                <w:sz w:val="28"/>
                <w:szCs w:val="28"/>
              </w:rPr>
              <w:t>9</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color w:val="000000"/>
                <w:sz w:val="28"/>
                <w:szCs w:val="28"/>
              </w:rPr>
            </w:pPr>
            <w:r>
              <w:rPr>
                <w:rFonts w:eastAsia="仿宋_GB2312" w:hint="eastAsia"/>
                <w:color w:val="000000"/>
                <w:sz w:val="28"/>
                <w:szCs w:val="28"/>
              </w:rPr>
              <w:t>认真贯彻落实全省“八五”普法规划和《湖南省法治社会建设实施方案（</w:t>
            </w:r>
            <w:r>
              <w:rPr>
                <w:rFonts w:eastAsia="仿宋_GB2312" w:hint="eastAsia"/>
                <w:color w:val="000000"/>
                <w:sz w:val="28"/>
                <w:szCs w:val="28"/>
              </w:rPr>
              <w:t>2021-2025</w:t>
            </w:r>
            <w:r>
              <w:rPr>
                <w:rFonts w:eastAsia="仿宋_GB2312" w:hint="eastAsia"/>
                <w:color w:val="000000"/>
                <w:sz w:val="28"/>
                <w:szCs w:val="28"/>
              </w:rPr>
              <w:t>年）》</w:t>
            </w:r>
            <w:r>
              <w:rPr>
                <w:rFonts w:eastAsia="仿宋_GB2312"/>
                <w:color w:val="000000"/>
                <w:sz w:val="28"/>
                <w:szCs w:val="28"/>
                <w:lang w:val="en"/>
              </w:rPr>
              <w:t>，制定年度任务清单并抓好组织实施</w:t>
            </w:r>
            <w:r>
              <w:rPr>
                <w:rFonts w:eastAsia="仿宋_GB2312"/>
                <w:color w:val="000000"/>
                <w:sz w:val="28"/>
                <w:szCs w:val="28"/>
              </w:rPr>
              <w:t>。</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45"/>
        </w:trPr>
        <w:tc>
          <w:tcPr>
            <w:tcW w:w="1697" w:type="dxa"/>
            <w:vMerge w:val="restart"/>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hint="eastAsia"/>
                <w:color w:val="000000"/>
                <w:sz w:val="28"/>
                <w:szCs w:val="28"/>
              </w:rPr>
            </w:pPr>
            <w:r>
              <w:rPr>
                <w:rFonts w:eastAsia="仿宋_GB2312" w:hint="eastAsia"/>
                <w:color w:val="000000"/>
                <w:sz w:val="28"/>
                <w:szCs w:val="28"/>
              </w:rPr>
              <w:t>个性指标</w:t>
            </w: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hint="eastAsia"/>
                <w:color w:val="000000"/>
                <w:sz w:val="28"/>
                <w:szCs w:val="28"/>
              </w:rPr>
            </w:pPr>
            <w:r>
              <w:rPr>
                <w:rFonts w:eastAsia="仿宋_GB2312" w:hint="eastAsia"/>
                <w:color w:val="000000"/>
                <w:sz w:val="28"/>
                <w:szCs w:val="28"/>
              </w:rPr>
              <w:t>1</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r>
              <w:rPr>
                <w:rFonts w:eastAsia="仿宋_GB2312" w:hint="eastAsia"/>
                <w:color w:val="000000"/>
                <w:sz w:val="28"/>
                <w:szCs w:val="28"/>
                <w:lang w:bidi="ar"/>
              </w:rPr>
              <w:t>贯彻实施全国、全省应急管理系统法治宣传教育的第八个五年规划和湖南省“八五”普法规划，结合“</w:t>
            </w:r>
            <w:r>
              <w:rPr>
                <w:rFonts w:eastAsia="仿宋_GB2312" w:hint="eastAsia"/>
                <w:color w:val="000000"/>
                <w:sz w:val="28"/>
                <w:szCs w:val="28"/>
                <w:lang w:bidi="ar"/>
              </w:rPr>
              <w:t>5</w:t>
            </w:r>
            <w:r>
              <w:rPr>
                <w:rFonts w:eastAsia="仿宋_GB2312" w:hint="eastAsia"/>
                <w:color w:val="000000"/>
                <w:sz w:val="28"/>
                <w:szCs w:val="28"/>
                <w:lang w:bidi="ar"/>
              </w:rPr>
              <w:t>·</w:t>
            </w:r>
            <w:r>
              <w:rPr>
                <w:rFonts w:eastAsia="仿宋_GB2312" w:hint="eastAsia"/>
                <w:color w:val="000000"/>
                <w:sz w:val="28"/>
                <w:szCs w:val="28"/>
                <w:lang w:bidi="ar"/>
              </w:rPr>
              <w:t>12</w:t>
            </w:r>
            <w:r>
              <w:rPr>
                <w:rFonts w:eastAsia="仿宋_GB2312" w:hint="eastAsia"/>
                <w:color w:val="000000"/>
                <w:sz w:val="28"/>
                <w:szCs w:val="28"/>
                <w:lang w:bidi="ar"/>
              </w:rPr>
              <w:t>”全国防灾减灾日、安全生产月、“</w:t>
            </w:r>
            <w:r>
              <w:rPr>
                <w:rFonts w:eastAsia="仿宋_GB2312" w:hint="eastAsia"/>
                <w:color w:val="000000"/>
                <w:sz w:val="28"/>
                <w:szCs w:val="28"/>
                <w:lang w:bidi="ar"/>
              </w:rPr>
              <w:t>12</w:t>
            </w:r>
            <w:r>
              <w:rPr>
                <w:rFonts w:eastAsia="仿宋_GB2312" w:hint="eastAsia"/>
                <w:color w:val="000000"/>
                <w:sz w:val="28"/>
                <w:szCs w:val="28"/>
                <w:lang w:bidi="ar"/>
              </w:rPr>
              <w:t>·</w:t>
            </w:r>
            <w:r>
              <w:rPr>
                <w:rFonts w:eastAsia="仿宋_GB2312" w:hint="eastAsia"/>
                <w:color w:val="000000"/>
                <w:sz w:val="28"/>
                <w:szCs w:val="28"/>
                <w:lang w:bidi="ar"/>
              </w:rPr>
              <w:t>4</w:t>
            </w:r>
            <w:r>
              <w:rPr>
                <w:rFonts w:eastAsia="仿宋_GB2312" w:hint="eastAsia"/>
                <w:color w:val="000000"/>
                <w:sz w:val="28"/>
                <w:szCs w:val="28"/>
                <w:lang w:bidi="ar"/>
              </w:rPr>
              <w:t>”国家宪法日等特殊时间节点，突出对突发事件应对的法治宣传，提供相关法律咨询和服务。</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45"/>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hint="eastAsia"/>
                <w:color w:val="000000"/>
                <w:sz w:val="28"/>
                <w:szCs w:val="28"/>
              </w:rPr>
            </w:pPr>
            <w:r>
              <w:rPr>
                <w:rFonts w:eastAsia="仿宋_GB2312" w:hint="eastAsia"/>
                <w:color w:val="000000"/>
                <w:sz w:val="28"/>
                <w:szCs w:val="28"/>
              </w:rPr>
              <w:t>2</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r>
              <w:rPr>
                <w:rFonts w:eastAsia="仿宋_GB2312" w:hint="eastAsia"/>
                <w:color w:val="000000"/>
                <w:sz w:val="28"/>
                <w:szCs w:val="28"/>
                <w:lang w:bidi="ar"/>
              </w:rPr>
              <w:t>推动“谁执法谁普法”，定期发布应急管理法律法规及标准等相关信息，加强对新出台应急管理法律法规规章的宣贯，定期筛选发布典型案例。</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45"/>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hint="eastAsia"/>
                <w:color w:val="000000"/>
                <w:sz w:val="28"/>
                <w:szCs w:val="28"/>
              </w:rPr>
            </w:pPr>
            <w:r>
              <w:rPr>
                <w:rFonts w:eastAsia="仿宋_GB2312" w:hint="eastAsia"/>
                <w:color w:val="000000"/>
                <w:sz w:val="28"/>
                <w:szCs w:val="28"/>
              </w:rPr>
              <w:t>3</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r>
              <w:rPr>
                <w:rFonts w:eastAsia="仿宋_GB2312" w:hint="eastAsia"/>
                <w:color w:val="000000"/>
                <w:sz w:val="28"/>
                <w:szCs w:val="28"/>
                <w:lang w:bidi="ar"/>
              </w:rPr>
              <w:t>充分运用“报、网、端、微、屏”等新技术新媒体开展精准普法，积极探索基于大数据的精准普法工作，创新打造“以需求定主体，以问题为导向”的精准普法和深度普法模式。</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45"/>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hint="eastAsia"/>
                <w:color w:val="000000"/>
                <w:sz w:val="28"/>
                <w:szCs w:val="28"/>
              </w:rPr>
            </w:pPr>
            <w:r>
              <w:rPr>
                <w:rFonts w:eastAsia="仿宋_GB2312" w:hint="eastAsia"/>
                <w:color w:val="000000"/>
                <w:sz w:val="28"/>
                <w:szCs w:val="28"/>
              </w:rPr>
              <w:t>4</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r>
              <w:rPr>
                <w:rFonts w:eastAsia="仿宋_GB2312" w:hint="eastAsia"/>
                <w:color w:val="000000"/>
                <w:sz w:val="28"/>
                <w:szCs w:val="28"/>
                <w:lang w:bidi="ar"/>
              </w:rPr>
              <w:t>以群众喜闻乐见、通俗易懂的形式</w:t>
            </w:r>
            <w:r>
              <w:rPr>
                <w:rFonts w:eastAsia="仿宋_GB2312" w:hint="eastAsia"/>
                <w:color w:val="000000"/>
                <w:sz w:val="28"/>
                <w:szCs w:val="28"/>
                <w:lang w:bidi="ar"/>
              </w:rPr>
              <w:t>,</w:t>
            </w:r>
            <w:r>
              <w:rPr>
                <w:rFonts w:eastAsia="仿宋_GB2312" w:hint="eastAsia"/>
                <w:color w:val="000000"/>
                <w:sz w:val="28"/>
                <w:szCs w:val="28"/>
              </w:rPr>
              <w:t>持续加强安全生产政策法规解读</w:t>
            </w:r>
            <w:r>
              <w:rPr>
                <w:rFonts w:eastAsia="仿宋_GB2312" w:hint="eastAsia"/>
                <w:color w:val="000000"/>
                <w:sz w:val="28"/>
                <w:szCs w:val="28"/>
                <w:lang w:bidi="ar"/>
              </w:rPr>
              <w:t>，</w:t>
            </w:r>
            <w:r>
              <w:rPr>
                <w:rFonts w:eastAsia="仿宋_GB2312" w:hint="eastAsia"/>
                <w:color w:val="000000"/>
                <w:sz w:val="28"/>
                <w:szCs w:val="28"/>
              </w:rPr>
              <w:t>通过最美应急人评选、最美应急人演讲比赛等品牌活动进一步选树典型，</w:t>
            </w:r>
            <w:r>
              <w:rPr>
                <w:rFonts w:eastAsia="仿宋_GB2312" w:hint="eastAsia"/>
                <w:color w:val="000000"/>
                <w:sz w:val="28"/>
                <w:szCs w:val="28"/>
                <w:lang w:bidi="ar"/>
              </w:rPr>
              <w:t>继续推动应急法治宣传进企业、进农村、进社区、进学校、进家庭，不断提高普法针对性和实效性。</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45"/>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hint="eastAsia"/>
                <w:color w:val="000000"/>
                <w:sz w:val="28"/>
                <w:szCs w:val="28"/>
                <w:lang w:val="en"/>
              </w:rPr>
            </w:pPr>
            <w:r>
              <w:rPr>
                <w:rFonts w:eastAsia="仿宋_GB2312" w:hint="eastAsia"/>
                <w:color w:val="000000"/>
                <w:sz w:val="28"/>
                <w:szCs w:val="28"/>
                <w:lang w:val="en"/>
              </w:rPr>
              <w:t>5</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lang w:bidi="ar"/>
              </w:rPr>
            </w:pPr>
            <w:r>
              <w:rPr>
                <w:rFonts w:eastAsia="仿宋_GB2312" w:hint="eastAsia"/>
                <w:color w:val="000000"/>
                <w:sz w:val="28"/>
                <w:szCs w:val="28"/>
                <w:lang w:bidi="ar"/>
              </w:rPr>
              <w:t>建立健全执法人员入职培训、定期轮训、执法比武和考核制度，提高应急管理干部依法行政意识，深入开展以案释法、互动答疑</w:t>
            </w:r>
            <w:r>
              <w:rPr>
                <w:rFonts w:eastAsia="仿宋_GB2312" w:hint="eastAsia"/>
                <w:color w:val="000000"/>
                <w:sz w:val="28"/>
                <w:szCs w:val="28"/>
                <w:lang w:bidi="ar"/>
              </w:rPr>
              <w:t>,</w:t>
            </w:r>
            <w:r>
              <w:rPr>
                <w:rFonts w:eastAsia="仿宋_GB2312" w:hint="eastAsia"/>
                <w:color w:val="000000"/>
                <w:sz w:val="28"/>
                <w:szCs w:val="28"/>
                <w:lang w:bidi="ar"/>
              </w:rPr>
              <w:t>推广说理式执法。</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r w:rsidR="00BD2A92" w:rsidTr="00101B9B">
        <w:trPr>
          <w:trHeight w:val="445"/>
        </w:trPr>
        <w:tc>
          <w:tcPr>
            <w:tcW w:w="1697" w:type="dxa"/>
            <w:vMerge/>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rPr>
            </w:pPr>
          </w:p>
        </w:tc>
        <w:tc>
          <w:tcPr>
            <w:tcW w:w="885"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hint="eastAsia"/>
                <w:color w:val="000000"/>
                <w:sz w:val="28"/>
                <w:szCs w:val="28"/>
                <w:lang w:val="en"/>
              </w:rPr>
            </w:pPr>
            <w:r>
              <w:rPr>
                <w:rFonts w:eastAsia="仿宋_GB2312" w:hint="eastAsia"/>
                <w:color w:val="000000"/>
                <w:sz w:val="28"/>
                <w:szCs w:val="28"/>
                <w:lang w:val="en"/>
              </w:rPr>
              <w:t>6</w:t>
            </w:r>
          </w:p>
        </w:tc>
        <w:tc>
          <w:tcPr>
            <w:tcW w:w="9510" w:type="dxa"/>
            <w:vAlign w:val="center"/>
          </w:tcPr>
          <w:p w:rsidR="00BD2A92" w:rsidRDefault="00BD2A92" w:rsidP="00101B9B">
            <w:pPr>
              <w:kinsoku w:val="0"/>
              <w:overflowPunct w:val="0"/>
              <w:autoSpaceDE w:val="0"/>
              <w:autoSpaceDN w:val="0"/>
              <w:adjustRightInd w:val="0"/>
              <w:snapToGrid w:val="0"/>
              <w:spacing w:line="440" w:lineRule="exact"/>
              <w:jc w:val="left"/>
              <w:rPr>
                <w:rFonts w:eastAsia="仿宋_GB2312" w:hint="eastAsia"/>
                <w:color w:val="000000"/>
                <w:sz w:val="28"/>
                <w:szCs w:val="28"/>
                <w:lang w:bidi="ar"/>
              </w:rPr>
            </w:pPr>
            <w:r>
              <w:rPr>
                <w:rFonts w:eastAsia="仿宋_GB2312" w:hint="eastAsia"/>
                <w:color w:val="000000"/>
                <w:sz w:val="28"/>
                <w:szCs w:val="28"/>
              </w:rPr>
              <w:t>加强</w:t>
            </w:r>
            <w:proofErr w:type="gramStart"/>
            <w:r>
              <w:rPr>
                <w:rFonts w:eastAsia="仿宋_GB2312" w:hint="eastAsia"/>
                <w:color w:val="000000"/>
                <w:sz w:val="28"/>
                <w:szCs w:val="28"/>
              </w:rPr>
              <w:t>安全发展</w:t>
            </w:r>
            <w:proofErr w:type="gramEnd"/>
            <w:r>
              <w:rPr>
                <w:rFonts w:eastAsia="仿宋_GB2312" w:hint="eastAsia"/>
                <w:color w:val="000000"/>
                <w:sz w:val="28"/>
                <w:szCs w:val="28"/>
              </w:rPr>
              <w:t>示范创建经验成效报道，</w:t>
            </w:r>
            <w:r>
              <w:rPr>
                <w:rFonts w:eastAsia="仿宋_GB2312" w:hint="eastAsia"/>
                <w:color w:val="000000"/>
                <w:sz w:val="28"/>
                <w:szCs w:val="28"/>
                <w:lang w:bidi="ar"/>
              </w:rPr>
              <w:t>高标准验收命名一批省级示范县和示范乡镇，</w:t>
            </w:r>
            <w:r>
              <w:rPr>
                <w:rFonts w:eastAsia="仿宋_GB2312" w:hint="eastAsia"/>
                <w:color w:val="000000"/>
                <w:sz w:val="28"/>
                <w:szCs w:val="28"/>
              </w:rPr>
              <w:t>引导全社会进一步强化</w:t>
            </w:r>
            <w:proofErr w:type="gramStart"/>
            <w:r>
              <w:rPr>
                <w:rFonts w:eastAsia="仿宋_GB2312" w:hint="eastAsia"/>
                <w:color w:val="000000"/>
                <w:sz w:val="28"/>
                <w:szCs w:val="28"/>
              </w:rPr>
              <w:t>安全发展</w:t>
            </w:r>
            <w:proofErr w:type="gramEnd"/>
            <w:r>
              <w:rPr>
                <w:rFonts w:eastAsia="仿宋_GB2312" w:hint="eastAsia"/>
                <w:color w:val="000000"/>
                <w:sz w:val="28"/>
                <w:szCs w:val="28"/>
              </w:rPr>
              <w:t>理念。</w:t>
            </w:r>
          </w:p>
        </w:tc>
        <w:tc>
          <w:tcPr>
            <w:tcW w:w="990" w:type="dxa"/>
            <w:vAlign w:val="center"/>
          </w:tcPr>
          <w:p w:rsidR="00BD2A92" w:rsidRDefault="00BD2A92" w:rsidP="00101B9B">
            <w:pPr>
              <w:kinsoku w:val="0"/>
              <w:overflowPunct w:val="0"/>
              <w:autoSpaceDE w:val="0"/>
              <w:autoSpaceDN w:val="0"/>
              <w:adjustRightInd w:val="0"/>
              <w:snapToGrid w:val="0"/>
              <w:spacing w:line="440" w:lineRule="exact"/>
              <w:jc w:val="center"/>
              <w:rPr>
                <w:rFonts w:eastAsia="仿宋_GB2312"/>
                <w:color w:val="000000"/>
                <w:sz w:val="28"/>
                <w:szCs w:val="28"/>
              </w:rPr>
            </w:pPr>
          </w:p>
        </w:tc>
      </w:tr>
    </w:tbl>
    <w:p w:rsidR="00BD2A92" w:rsidRDefault="00BD2A92" w:rsidP="00BD2A92">
      <w:pPr>
        <w:pStyle w:val="1"/>
      </w:pPr>
    </w:p>
    <w:p w:rsidR="00C64B12" w:rsidRPr="00BD2A92" w:rsidRDefault="00C64B12"/>
    <w:sectPr w:rsidR="00C64B12" w:rsidRPr="00BD2A92">
      <w:pgSz w:w="16838" w:h="11906" w:orient="landscape"/>
      <w:pgMar w:top="1587" w:right="2098" w:bottom="1474" w:left="1985" w:header="851" w:footer="992" w:gutter="0"/>
      <w:cols w:space="720"/>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92"/>
    <w:rsid w:val="00BD2A92"/>
    <w:rsid w:val="00C6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10CAB-3CF6-426F-AC0D-6EA115E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BD2A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BD2A92"/>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620</Characters>
  <Application>Microsoft Office Word</Application>
  <DocSecurity>0</DocSecurity>
  <Lines>18</Lines>
  <Paragraphs>3</Paragraphs>
  <ScaleCrop>false</ScaleCrop>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姜雯婕</dc:creator>
  <cp:keywords/>
  <dc:description/>
  <cp:lastModifiedBy>姜雯婕</cp:lastModifiedBy>
  <cp:revision>1</cp:revision>
  <dcterms:created xsi:type="dcterms:W3CDTF">2023-02-16T07:44:00Z</dcterms:created>
  <dcterms:modified xsi:type="dcterms:W3CDTF">2023-02-16T07:46:00Z</dcterms:modified>
</cp:coreProperties>
</file>